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B3E6" w14:textId="7370FD86" w:rsidR="00290D34" w:rsidRPr="007915E4" w:rsidRDefault="00290D34" w:rsidP="00D41EA7">
      <w:pPr>
        <w:ind w:firstLine="0"/>
        <w:rPr>
          <w:b/>
          <w:bCs/>
        </w:rPr>
      </w:pPr>
      <w:r w:rsidRPr="00290D34">
        <w:rPr>
          <w:b/>
          <w:bCs/>
        </w:rPr>
        <w:t>Studie zur psychischen Belastung und Lebensqualität herztransplantierter Menschen</w:t>
      </w:r>
    </w:p>
    <w:p w14:paraId="1FBA4447" w14:textId="241CDCC6" w:rsidR="00734806" w:rsidRDefault="00D41EA7" w:rsidP="00D41EA7">
      <w:pPr>
        <w:ind w:firstLine="0"/>
      </w:pPr>
      <w:r>
        <w:t>Glücklicherweise hat eine verbesserte medizinische Versorgung im Laufe der Zeit zu einer deutlich längeren Lebenserwartung Herztransplantierter</w:t>
      </w:r>
      <w:r w:rsidR="00135FB0">
        <w:t xml:space="preserve"> (HTx)</w:t>
      </w:r>
      <w:r>
        <w:t xml:space="preserve"> geführt. Daher finden Aspekte der Lebensqualität </w:t>
      </w:r>
      <w:r w:rsidR="00734806">
        <w:t xml:space="preserve">in Forschung und Praxis </w:t>
      </w:r>
      <w:r>
        <w:t>zunehmend Beachtung. Gleiches gilt für die psychische Belastung</w:t>
      </w:r>
      <w:r w:rsidR="00734806">
        <w:t xml:space="preserve"> der HTx</w:t>
      </w:r>
      <w:r>
        <w:t xml:space="preserve">, da </w:t>
      </w:r>
      <w:r w:rsidR="00135FB0">
        <w:t>HTx</w:t>
      </w:r>
      <w:r>
        <w:t xml:space="preserve"> Risiken wie einer Abstoßung des transplantierten Organs ausgesetzt sind und </w:t>
      </w:r>
      <w:r w:rsidR="000E5399">
        <w:t xml:space="preserve">ggfls. </w:t>
      </w:r>
      <w:r>
        <w:t xml:space="preserve">bereits vor der Transplantation als herzinsuffiziente </w:t>
      </w:r>
      <w:r w:rsidR="00143AF1">
        <w:t xml:space="preserve">(herzschwache) </w:t>
      </w:r>
      <w:r>
        <w:t xml:space="preserve">Patient*innen mit Todesängsten konfrontiert waren. </w:t>
      </w:r>
    </w:p>
    <w:p w14:paraId="7D81E069" w14:textId="655C863F" w:rsidR="00290D34" w:rsidRDefault="004B2DB3" w:rsidP="00E85629">
      <w:pPr>
        <w:ind w:firstLine="708"/>
      </w:pPr>
      <w:r>
        <w:t>Da ich selbst seit 14 Jahren herztransplantiert bin,</w:t>
      </w:r>
      <w:r w:rsidR="006439B7">
        <w:t xml:space="preserve"> war es mein Wunsch</w:t>
      </w:r>
      <w:r w:rsidR="00734806">
        <w:t>,</w:t>
      </w:r>
      <w:r w:rsidR="006439B7">
        <w:t xml:space="preserve"> im Rahmen</w:t>
      </w:r>
      <w:r w:rsidR="00D41EA7">
        <w:t xml:space="preserve"> meiner Masterarbeit </w:t>
      </w:r>
      <w:r w:rsidR="006439B7">
        <w:t xml:space="preserve">im Fachbereich Psychologie </w:t>
      </w:r>
      <w:r w:rsidR="00D41EA7">
        <w:t>an der Uni Hamburg</w:t>
      </w:r>
      <w:r w:rsidR="006439B7">
        <w:t xml:space="preserve"> zu untersuchen</w:t>
      </w:r>
      <w:r w:rsidR="00D41EA7">
        <w:t xml:space="preserve">, wie </w:t>
      </w:r>
      <w:r w:rsidR="006439B7">
        <w:t>stark</w:t>
      </w:r>
      <w:r w:rsidR="00D41EA7">
        <w:t xml:space="preserve"> </w:t>
      </w:r>
      <w:r w:rsidR="00135FB0">
        <w:t>HTx</w:t>
      </w:r>
      <w:r w:rsidR="00DF7C45">
        <w:t xml:space="preserve"> in Deutschland</w:t>
      </w:r>
      <w:r w:rsidR="00D41EA7">
        <w:t xml:space="preserve"> psychisch belastet sind und welches Niveau </w:t>
      </w:r>
      <w:r w:rsidR="006439B7">
        <w:t>der</w:t>
      </w:r>
      <w:r w:rsidR="00D41EA7">
        <w:t xml:space="preserve"> Lebensqualität </w:t>
      </w:r>
      <w:r w:rsidR="00805140">
        <w:t xml:space="preserve">von den HTx </w:t>
      </w:r>
      <w:r w:rsidR="006439B7">
        <w:t>berichtet wird</w:t>
      </w:r>
      <w:r w:rsidR="00D41EA7">
        <w:t xml:space="preserve">. </w:t>
      </w:r>
      <w:r w:rsidR="00306570">
        <w:t>Bezüglich der psychischen Belastung habe ich mich auf Angststörungen und Depressionen konzentriert.</w:t>
      </w:r>
      <w:r w:rsidR="00734806">
        <w:t xml:space="preserve"> </w:t>
      </w:r>
      <w:r w:rsidR="00135FB0">
        <w:t>Vergangene Studien zeigen ein deutlich erhöhtes Vorkommen von Angsterkrankungen</w:t>
      </w:r>
      <w:r w:rsidR="00306570">
        <w:t xml:space="preserve"> und Depressionen</w:t>
      </w:r>
      <w:r w:rsidR="00135FB0">
        <w:t xml:space="preserve"> </w:t>
      </w:r>
      <w:r w:rsidR="00FC721E">
        <w:t xml:space="preserve">bei </w:t>
      </w:r>
      <w:r w:rsidR="00962994">
        <w:t xml:space="preserve">HTx im Vergleich zur Allgemeinbevölkerung. Zumeist wurde ein 1.5-fach bis 2-fach erhöhtes Vorkommen (Prävalenz) dieser Erkrankungen bei HTx </w:t>
      </w:r>
      <w:r w:rsidR="00805140">
        <w:t>festgestellt</w:t>
      </w:r>
      <w:r w:rsidR="00FC721E">
        <w:t xml:space="preserve">, wobei die </w:t>
      </w:r>
      <w:r w:rsidR="00C90FF7">
        <w:t>empfundene</w:t>
      </w:r>
      <w:r w:rsidR="00805140">
        <w:t xml:space="preserve"> </w:t>
      </w:r>
      <w:r w:rsidR="00FC721E">
        <w:t>Lebensqualität</w:t>
      </w:r>
      <w:r w:rsidR="00C90FF7">
        <w:t xml:space="preserve"> der HTx</w:t>
      </w:r>
      <w:r w:rsidR="00FC721E">
        <w:t xml:space="preserve"> </w:t>
      </w:r>
      <w:r w:rsidR="00805140">
        <w:t xml:space="preserve">in der Regel </w:t>
      </w:r>
      <w:r w:rsidR="008369C9">
        <w:t>dem Niveau der Allgemeinbevölkerung entsprach</w:t>
      </w:r>
      <w:r w:rsidR="00962994">
        <w:t>.</w:t>
      </w:r>
      <w:r w:rsidR="00135FB0">
        <w:t xml:space="preserve"> </w:t>
      </w:r>
      <w:r w:rsidR="00290D34">
        <w:t xml:space="preserve">In meiner Studie </w:t>
      </w:r>
      <w:r w:rsidR="00322745">
        <w:t xml:space="preserve">habe ich die Angst- und Depressionswerte sowie die Lebensqualität der HTx </w:t>
      </w:r>
      <w:r w:rsidR="005F5934">
        <w:t xml:space="preserve">sowie gesunder </w:t>
      </w:r>
      <w:r w:rsidR="00705FED">
        <w:t xml:space="preserve">als auch herzinsuffizienter Personen </w:t>
      </w:r>
      <w:r w:rsidR="00322745">
        <w:t>erfasst</w:t>
      </w:r>
      <w:r w:rsidR="007D029E">
        <w:t>, um einen</w:t>
      </w:r>
      <w:r w:rsidR="00705FED">
        <w:t xml:space="preserve"> </w:t>
      </w:r>
      <w:r w:rsidR="00F0580B">
        <w:t xml:space="preserve">Vergleich </w:t>
      </w:r>
      <w:r w:rsidR="007D029E">
        <w:t>zur gesunden Allgemeinbevölkerung</w:t>
      </w:r>
      <w:r>
        <w:t xml:space="preserve"> zu haben</w:t>
      </w:r>
      <w:r w:rsidR="007D029E">
        <w:t xml:space="preserve"> und </w:t>
      </w:r>
      <w:r>
        <w:t xml:space="preserve">die psychische Gesundheit vor und nach der Transplantation darstellen zu können. </w:t>
      </w:r>
    </w:p>
    <w:p w14:paraId="2E4F7567" w14:textId="436E3E70" w:rsidR="00AA73CF" w:rsidRPr="00EE1185" w:rsidRDefault="00983B4F" w:rsidP="00E85629">
      <w:pPr>
        <w:ind w:firstLine="708"/>
      </w:pPr>
      <w:r w:rsidRPr="00EE1185">
        <w:t xml:space="preserve">Bei der Gewinnung von Teilnehmer*innen wurde ich </w:t>
      </w:r>
      <w:r w:rsidR="007D6E6F" w:rsidRPr="00EE1185">
        <w:t xml:space="preserve">von meiner Frau, vielen Freunden und Bekannten sowie </w:t>
      </w:r>
      <w:r w:rsidRPr="00EE1185">
        <w:t xml:space="preserve">von </w:t>
      </w:r>
      <w:r w:rsidR="00C84761" w:rsidRPr="00EE1185">
        <w:t>zahlreichen</w:t>
      </w:r>
      <w:r w:rsidRPr="00EE1185">
        <w:t xml:space="preserve"> Institutionen unterstützt</w:t>
      </w:r>
      <w:r w:rsidR="007D6E6F" w:rsidRPr="00EE1185">
        <w:t xml:space="preserve">, </w:t>
      </w:r>
      <w:r w:rsidR="00C84761" w:rsidRPr="00EE1185">
        <w:t>ins</w:t>
      </w:r>
      <w:r w:rsidR="007D6E6F" w:rsidRPr="00EE1185">
        <w:t>besonder</w:t>
      </w:r>
      <w:r w:rsidR="00C84761" w:rsidRPr="00EE1185">
        <w:t xml:space="preserve">e von den </w:t>
      </w:r>
      <w:r w:rsidR="00AD3830" w:rsidRPr="00EE1185">
        <w:t>Herzinsuffizienz- und Transplantationsambulanz</w:t>
      </w:r>
      <w:r w:rsidR="00C84761" w:rsidRPr="00EE1185">
        <w:t>en</w:t>
      </w:r>
      <w:r w:rsidR="00AD3830" w:rsidRPr="00EE1185">
        <w:t xml:space="preserve"> des Herzzentrums Leipzig</w:t>
      </w:r>
      <w:r w:rsidR="00C84761" w:rsidRPr="00EE1185">
        <w:t xml:space="preserve">, des </w:t>
      </w:r>
      <w:r w:rsidR="00C876D2" w:rsidRPr="00EE1185">
        <w:t>Herzzentrum</w:t>
      </w:r>
      <w:r w:rsidR="00C84761" w:rsidRPr="00EE1185">
        <w:t>s</w:t>
      </w:r>
      <w:r w:rsidR="00C876D2" w:rsidRPr="00EE1185">
        <w:t xml:space="preserve"> im </w:t>
      </w:r>
      <w:r w:rsidR="00AD3830" w:rsidRPr="00EE1185">
        <w:t>Universitätsklinikum Schleswig-Holstein in Kiel</w:t>
      </w:r>
      <w:r w:rsidR="00C84761" w:rsidRPr="00EE1185">
        <w:t xml:space="preserve">, des Transplantationszentrums (Sektion Herz) der </w:t>
      </w:r>
      <w:r w:rsidR="00AD3830" w:rsidRPr="00EE1185">
        <w:t>Kerckhoff Klinik Bad Nauheim</w:t>
      </w:r>
      <w:r w:rsidR="00C84761" w:rsidRPr="00EE1185">
        <w:t xml:space="preserve">, des </w:t>
      </w:r>
      <w:r w:rsidR="00AA73CF" w:rsidRPr="00EE1185">
        <w:t>Deutsche</w:t>
      </w:r>
      <w:r w:rsidR="00C84761" w:rsidRPr="00EE1185">
        <w:t>n</w:t>
      </w:r>
      <w:r w:rsidR="00C876D2" w:rsidRPr="00EE1185">
        <w:t xml:space="preserve"> </w:t>
      </w:r>
      <w:r w:rsidR="00AA73CF" w:rsidRPr="00EE1185">
        <w:t>Herzzentrum</w:t>
      </w:r>
      <w:r w:rsidR="00C84761" w:rsidRPr="00EE1185">
        <w:t>s</w:t>
      </w:r>
      <w:r w:rsidR="00AA73CF" w:rsidRPr="00EE1185">
        <w:t xml:space="preserve"> Berlin</w:t>
      </w:r>
      <w:r w:rsidR="00C84761" w:rsidRPr="00EE1185">
        <w:t xml:space="preserve">, des Klinikums Großhadern bzw. des Transplantationszentrums des Klinikums der Universität München, des Herzzentrums der Universität zu Köln, der Klinik für Herz-, Thorax- und Gefäßchirurgie Universitätsmedizin Göttingen sowie des Herzzentrums im </w:t>
      </w:r>
      <w:r w:rsidR="00AA73CF" w:rsidRPr="00EE1185">
        <w:t>Universitätsklinikum Hamburg-Eppendorf</w:t>
      </w:r>
      <w:r w:rsidR="00C84761" w:rsidRPr="00EE1185">
        <w:t>.</w:t>
      </w:r>
      <w:r w:rsidR="00AA73CF" w:rsidRPr="00EE1185">
        <w:t xml:space="preserve"> </w:t>
      </w:r>
    </w:p>
    <w:p w14:paraId="2B80B196" w14:textId="7DBDB42A" w:rsidR="00E85629" w:rsidRPr="00EE1185" w:rsidRDefault="00D02299" w:rsidP="00E85629">
      <w:pPr>
        <w:ind w:firstLine="0"/>
      </w:pPr>
      <w:r w:rsidRPr="00EE1185">
        <w:t xml:space="preserve">Ein besonderer Dank gilt auch der Selbsthilfegruppe „Die Doppelherzen“ sowie dem BDO und seinen Mitglieder*innen für die </w:t>
      </w:r>
      <w:r w:rsidR="00143AF1" w:rsidRPr="00EE1185">
        <w:t>zahlreiche</w:t>
      </w:r>
      <w:r w:rsidRPr="00EE1185">
        <w:t xml:space="preserve"> Teilnahme an der Studie!</w:t>
      </w:r>
      <w:r w:rsidR="00937F5E" w:rsidRPr="00EE1185">
        <w:t xml:space="preserve"> Durch die</w:t>
      </w:r>
      <w:r w:rsidR="00D67914" w:rsidRPr="00EE1185">
        <w:t>se</w:t>
      </w:r>
      <w:r w:rsidR="00937F5E" w:rsidRPr="00EE1185">
        <w:t xml:space="preserve"> Unterstützung </w:t>
      </w:r>
      <w:r w:rsidR="007D6E6F" w:rsidRPr="00EE1185">
        <w:t xml:space="preserve">konnten </w:t>
      </w:r>
      <w:r w:rsidR="00937F5E" w:rsidRPr="00EE1185">
        <w:t xml:space="preserve">insgesamt Daten von </w:t>
      </w:r>
      <w:r w:rsidR="007D6E6F" w:rsidRPr="00EE1185">
        <w:t xml:space="preserve">65 herztransplantierten, 45 herzinsuffizienten </w:t>
      </w:r>
      <w:r w:rsidR="00937F5E" w:rsidRPr="00EE1185">
        <w:t>sowie</w:t>
      </w:r>
      <w:r w:rsidR="007D6E6F" w:rsidRPr="00EE1185">
        <w:t xml:space="preserve"> 56 gesunden Personen </w:t>
      </w:r>
      <w:r w:rsidR="00937F5E" w:rsidRPr="00EE1185">
        <w:t xml:space="preserve">in die Auswertung </w:t>
      </w:r>
      <w:r w:rsidR="007D6E6F" w:rsidRPr="00EE1185">
        <w:t>eingehen</w:t>
      </w:r>
      <w:r w:rsidR="00D625AA" w:rsidRPr="00EE1185">
        <w:t>!</w:t>
      </w:r>
    </w:p>
    <w:p w14:paraId="72DB178B" w14:textId="5CC9B2BA" w:rsidR="00AB0DFD" w:rsidRPr="00EE1185" w:rsidRDefault="00E85629" w:rsidP="00E85629">
      <w:pPr>
        <w:ind w:firstLine="708"/>
      </w:pPr>
      <w:r w:rsidRPr="00EE1185">
        <w:lastRenderedPageBreak/>
        <w:t>Zur Feststellung,</w:t>
      </w:r>
      <w:r w:rsidR="000A3AB1" w:rsidRPr="00EE1185">
        <w:t xml:space="preserve"> inwieweit Angsterkrankungen oder Depressionen vorliegen und wie gut es um die Lebensqualität bestellt ist, haben die Teilnehmer*innen standardisierte Selbstfragebögen ausgefüllt.</w:t>
      </w:r>
      <w:r w:rsidR="00FF229B" w:rsidRPr="00EE1185">
        <w:t xml:space="preserve"> Hierbei wurden Angsterkrankungen über den GAD-7 (Generalized Anxiety Disorder 7) und Depressionen über den BDI-ii (Beck-Depressions-Inventar Revision) erfasst, während zur Messung der Lebensqualität der WHOQOL-BREF der WHO verwendet wurde.</w:t>
      </w:r>
    </w:p>
    <w:p w14:paraId="6CFD04F2" w14:textId="6F3BF6C2" w:rsidR="00CA5975" w:rsidRPr="00EE1185" w:rsidRDefault="003706CA" w:rsidP="00E85629">
      <w:pPr>
        <w:ind w:firstLine="708"/>
      </w:pPr>
      <w:r w:rsidRPr="00EE1185">
        <w:t>Im Ergebnis lässt sich festhalten, dass eine</w:t>
      </w:r>
      <w:r w:rsidR="00D41EA7" w:rsidRPr="00EE1185">
        <w:t xml:space="preserve"> Herztransplantation auch aus psychologischer Sicht eine erfolgreiche Intervention</w:t>
      </w:r>
      <w:r w:rsidR="00D67914" w:rsidRPr="00EE1185">
        <w:t xml:space="preserve"> (Behandlungsmethode)</w:t>
      </w:r>
      <w:r w:rsidR="00D41EA7" w:rsidRPr="00EE1185">
        <w:t xml:space="preserve"> für schwer herzinsuffiziente Menschen dar</w:t>
      </w:r>
      <w:r w:rsidRPr="00EE1185">
        <w:t>stellt!</w:t>
      </w:r>
      <w:r w:rsidR="00E85629" w:rsidRPr="00EE1185">
        <w:t xml:space="preserve"> </w:t>
      </w:r>
      <w:r w:rsidRPr="00EE1185">
        <w:t>HTx</w:t>
      </w:r>
      <w:r w:rsidR="00D41EA7" w:rsidRPr="00EE1185">
        <w:t xml:space="preserve"> </w:t>
      </w:r>
      <w:r w:rsidR="000C45A1" w:rsidRPr="00EE1185">
        <w:t xml:space="preserve">gaben bei </w:t>
      </w:r>
      <w:r w:rsidR="00A77529" w:rsidRPr="00EE1185">
        <w:t>meiner</w:t>
      </w:r>
      <w:r w:rsidR="000C45A1" w:rsidRPr="00EE1185">
        <w:t xml:space="preserve"> Studie</w:t>
      </w:r>
      <w:r w:rsidR="00D41EA7" w:rsidRPr="00EE1185">
        <w:t xml:space="preserve"> ein deutlich geringeres Belastungserleben</w:t>
      </w:r>
      <w:r w:rsidRPr="00EE1185">
        <w:t xml:space="preserve"> als Herzinsuffiziente an</w:t>
      </w:r>
      <w:r w:rsidR="006A64C4" w:rsidRPr="00EE1185">
        <w:t xml:space="preserve"> – sowohl was die Stärke als auch das Vorkommen von Angsterkrankungen als auch von Depressionen betrifft</w:t>
      </w:r>
      <w:r w:rsidR="00A77529" w:rsidRPr="00EE1185">
        <w:t>!</w:t>
      </w:r>
      <w:r w:rsidR="006A64C4" w:rsidRPr="00EE1185">
        <w:t xml:space="preserve"> Auch </w:t>
      </w:r>
      <w:r w:rsidR="000C45A1" w:rsidRPr="00EE1185">
        <w:t>wurde</w:t>
      </w:r>
      <w:r w:rsidR="006A64C4" w:rsidRPr="00EE1185">
        <w:t xml:space="preserve"> von den HTx </w:t>
      </w:r>
      <w:r w:rsidR="00D41EA7" w:rsidRPr="00EE1185">
        <w:t xml:space="preserve">eine </w:t>
      </w:r>
      <w:r w:rsidR="006A64C4" w:rsidRPr="00EE1185">
        <w:t xml:space="preserve">im Vergleich zu den herzinsuffizienten Personen </w:t>
      </w:r>
      <w:r w:rsidR="00D41EA7" w:rsidRPr="00EE1185">
        <w:t>deutlich bessere</w:t>
      </w:r>
      <w:r w:rsidR="00CA5975" w:rsidRPr="00EE1185">
        <w:t xml:space="preserve"> wahrgenommene</w:t>
      </w:r>
      <w:r w:rsidR="00D41EA7" w:rsidRPr="00EE1185">
        <w:t xml:space="preserve"> Lebensqualität</w:t>
      </w:r>
      <w:r w:rsidR="00CA5975" w:rsidRPr="00EE1185">
        <w:t xml:space="preserve"> angegeben, welche</w:t>
      </w:r>
      <w:r w:rsidR="00A77529" w:rsidRPr="00EE1185">
        <w:t xml:space="preserve"> analog zu den Befunden vorangegangener Studien</w:t>
      </w:r>
      <w:r w:rsidR="00CA5975" w:rsidRPr="00EE1185">
        <w:t xml:space="preserve"> </w:t>
      </w:r>
      <w:r w:rsidR="000C45A1" w:rsidRPr="00EE1185">
        <w:t xml:space="preserve">erfreulicherweise </w:t>
      </w:r>
      <w:r w:rsidR="00CA5975" w:rsidRPr="00EE1185">
        <w:t>i</w:t>
      </w:r>
      <w:r w:rsidR="00D41EA7" w:rsidRPr="00EE1185">
        <w:t xml:space="preserve">nsgesamt </w:t>
      </w:r>
      <w:r w:rsidR="000C45A1" w:rsidRPr="00EE1185">
        <w:t>dem Niveau</w:t>
      </w:r>
      <w:r w:rsidR="00D41EA7" w:rsidRPr="00EE1185">
        <w:t xml:space="preserve"> gesunder </w:t>
      </w:r>
      <w:r w:rsidR="00D67914" w:rsidRPr="00EE1185">
        <w:t>Menschen</w:t>
      </w:r>
      <w:r w:rsidR="000C45A1" w:rsidRPr="00EE1185">
        <w:t xml:space="preserve"> entspricht</w:t>
      </w:r>
      <w:r w:rsidR="00D41EA7" w:rsidRPr="00EE1185">
        <w:t xml:space="preserve">. </w:t>
      </w:r>
    </w:p>
    <w:p w14:paraId="54E60048" w14:textId="17A31B9A" w:rsidR="00F6442B" w:rsidRPr="00EE1185" w:rsidRDefault="00F6442B" w:rsidP="00E85629">
      <w:pPr>
        <w:ind w:firstLine="708"/>
      </w:pPr>
      <w:r w:rsidRPr="00EE1185">
        <w:t>Allerdings fällt auf, dass die wahrgenommene psychische Belastung</w:t>
      </w:r>
      <w:r w:rsidR="00D41EA7" w:rsidRPr="00EE1185">
        <w:t xml:space="preserve"> zwischen den </w:t>
      </w:r>
      <w:r w:rsidR="00F90DA3" w:rsidRPr="00EE1185">
        <w:t xml:space="preserve">einzelnen </w:t>
      </w:r>
      <w:r w:rsidR="00D41EA7" w:rsidRPr="00EE1185">
        <w:t>HTx sehr schwankend</w:t>
      </w:r>
      <w:r w:rsidRPr="00EE1185">
        <w:t xml:space="preserve"> ist. Dies wird </w:t>
      </w:r>
      <w:r w:rsidR="00E85629" w:rsidRPr="00EE1185">
        <w:t xml:space="preserve">u.a. </w:t>
      </w:r>
      <w:r w:rsidRPr="00EE1185">
        <w:t>daran</w:t>
      </w:r>
      <w:r w:rsidR="00D41EA7" w:rsidRPr="00EE1185">
        <w:t xml:space="preserve"> </w:t>
      </w:r>
      <w:r w:rsidRPr="00EE1185">
        <w:t>deutlich,</w:t>
      </w:r>
      <w:r w:rsidR="00D41EA7" w:rsidRPr="00EE1185">
        <w:t xml:space="preserve"> dass es bei den HTx trotz der deutlich reduzierten Belastungswerte eine im Vergleich zu Gesunden </w:t>
      </w:r>
      <w:r w:rsidR="00A77529" w:rsidRPr="00EE1185">
        <w:t xml:space="preserve">eine </w:t>
      </w:r>
      <w:r w:rsidR="00D41EA7" w:rsidRPr="00EE1185">
        <w:t>vierfach erhöhte Prävalenz</w:t>
      </w:r>
      <w:r w:rsidR="00F90DA3" w:rsidRPr="00EE1185">
        <w:t xml:space="preserve"> </w:t>
      </w:r>
      <w:r w:rsidR="00D41EA7" w:rsidRPr="00EE1185">
        <w:t>moderater bzw.</w:t>
      </w:r>
      <w:r w:rsidR="00D67914" w:rsidRPr="00EE1185">
        <w:t xml:space="preserve"> schwerer</w:t>
      </w:r>
      <w:r w:rsidR="00D41EA7" w:rsidRPr="00EE1185">
        <w:t xml:space="preserve"> depressiver Symptome gibt</w:t>
      </w:r>
      <w:r w:rsidR="00F90DA3" w:rsidRPr="00EE1185">
        <w:t>. Während bei der Gruppe der Gesunden 5.4% angeben unter (mittel)starken depressiven Symptome</w:t>
      </w:r>
      <w:r w:rsidR="00D67914" w:rsidRPr="00EE1185">
        <w:t>n</w:t>
      </w:r>
      <w:r w:rsidRPr="00EE1185">
        <w:t xml:space="preserve"> </w:t>
      </w:r>
      <w:r w:rsidR="00F90DA3" w:rsidRPr="00EE1185">
        <w:t xml:space="preserve">zu leiden, </w:t>
      </w:r>
      <w:r w:rsidR="00A77529" w:rsidRPr="00EE1185">
        <w:t>waren</w:t>
      </w:r>
      <w:r w:rsidR="00F90DA3" w:rsidRPr="00EE1185">
        <w:t xml:space="preserve"> es bei den HTx 21,6%!</w:t>
      </w:r>
      <w:r w:rsidRPr="00EE1185">
        <w:t xml:space="preserve"> </w:t>
      </w:r>
      <w:r w:rsidR="00E85629" w:rsidRPr="00EE1185">
        <w:t xml:space="preserve"> D</w:t>
      </w:r>
      <w:r w:rsidR="00943CC4" w:rsidRPr="00EE1185">
        <w:t>ie</w:t>
      </w:r>
      <w:r w:rsidR="00A7400C" w:rsidRPr="00EE1185">
        <w:t xml:space="preserve"> </w:t>
      </w:r>
      <w:r w:rsidR="00E85629" w:rsidRPr="00EE1185">
        <w:t>HTx</w:t>
      </w:r>
      <w:r w:rsidR="00A7400C" w:rsidRPr="00EE1185">
        <w:t xml:space="preserve"> mit ausgeprägteren</w:t>
      </w:r>
      <w:r w:rsidRPr="00EE1185">
        <w:t xml:space="preserve"> </w:t>
      </w:r>
      <w:r w:rsidR="00A7400C" w:rsidRPr="00EE1185">
        <w:t xml:space="preserve">Angsterkrankungen bzw. </w:t>
      </w:r>
      <w:r w:rsidRPr="00EE1185">
        <w:t>depressive</w:t>
      </w:r>
      <w:r w:rsidR="00A7400C" w:rsidRPr="00EE1185">
        <w:t>n</w:t>
      </w:r>
      <w:r w:rsidRPr="00EE1185">
        <w:t xml:space="preserve"> Symptome </w:t>
      </w:r>
      <w:r w:rsidR="00A7400C" w:rsidRPr="00EE1185">
        <w:t>berichten auch von einer entsprechend reduzierten</w:t>
      </w:r>
      <w:r w:rsidRPr="00EE1185">
        <w:t xml:space="preserve"> Lebensqualität.</w:t>
      </w:r>
    </w:p>
    <w:p w14:paraId="21BAA6D9" w14:textId="703CE71B" w:rsidR="002821BC" w:rsidRPr="00EE1185" w:rsidRDefault="00943CC4" w:rsidP="00E85629">
      <w:pPr>
        <w:ind w:firstLine="708"/>
      </w:pPr>
      <w:r w:rsidRPr="00EE1185">
        <w:t xml:space="preserve">Das deutlich gehäufte Vorkommen </w:t>
      </w:r>
      <w:r w:rsidR="002821BC" w:rsidRPr="00EE1185">
        <w:t xml:space="preserve">schwerer </w:t>
      </w:r>
      <w:r w:rsidRPr="00EE1185">
        <w:t>depressiver Symptome der HTx</w:t>
      </w:r>
      <w:r w:rsidR="00D41EA7" w:rsidRPr="00EE1185">
        <w:t xml:space="preserve"> sollte</w:t>
      </w:r>
      <w:r w:rsidRPr="00EE1185">
        <w:t xml:space="preserve"> unbedingt</w:t>
      </w:r>
      <w:r w:rsidR="00D41EA7" w:rsidRPr="00EE1185">
        <w:t xml:space="preserve"> in der Praxis </w:t>
      </w:r>
      <w:r w:rsidR="002821BC" w:rsidRPr="00EE1185">
        <w:t>der Transplantationsambulanzen in Form</w:t>
      </w:r>
      <w:r w:rsidR="00D41EA7" w:rsidRPr="00EE1185">
        <w:t xml:space="preserve"> eine</w:t>
      </w:r>
      <w:r w:rsidR="002821BC" w:rsidRPr="00EE1185">
        <w:t>s</w:t>
      </w:r>
      <w:r w:rsidR="00D41EA7" w:rsidRPr="00EE1185">
        <w:t xml:space="preserve"> routinemäßigen </w:t>
      </w:r>
      <w:r w:rsidRPr="00EE1185">
        <w:t>Depressions-</w:t>
      </w:r>
      <w:r w:rsidR="00D41EA7" w:rsidRPr="00EE1185">
        <w:t>Screening</w:t>
      </w:r>
      <w:r w:rsidR="002821BC" w:rsidRPr="00EE1185">
        <w:t>s</w:t>
      </w:r>
      <w:r w:rsidR="00D41EA7" w:rsidRPr="00EE1185">
        <w:t xml:space="preserve"> </w:t>
      </w:r>
      <w:r w:rsidRPr="00EE1185">
        <w:t>Berücksichtigung finden</w:t>
      </w:r>
      <w:r w:rsidR="00D41EA7" w:rsidRPr="00EE1185">
        <w:t>, da Depressionen zu Lasten der Compliance gehen</w:t>
      </w:r>
      <w:r w:rsidR="00C070F4" w:rsidRPr="00EE1185">
        <w:t xml:space="preserve"> und damit den Therapieerfolg massiv gefährden</w:t>
      </w:r>
      <w:r w:rsidR="002821BC" w:rsidRPr="00EE1185">
        <w:t>!</w:t>
      </w:r>
      <w:r w:rsidR="006D3AFE" w:rsidRPr="00EE1185">
        <w:t xml:space="preserve"> Compliance meint das kooperative Verhalten </w:t>
      </w:r>
      <w:r w:rsidR="00D95A91" w:rsidRPr="00EE1185">
        <w:t>der Patient*innen</w:t>
      </w:r>
      <w:r w:rsidR="008D68C3" w:rsidRPr="00EE1185">
        <w:t>,</w:t>
      </w:r>
      <w:r w:rsidR="00D95A91" w:rsidRPr="00EE1185">
        <w:t xml:space="preserve"> worunter u.a. auch die überlebenswichtige Therapietreue</w:t>
      </w:r>
      <w:r w:rsidR="008D68C3" w:rsidRPr="00EE1185">
        <w:t xml:space="preserve"> mit einer verlässlichen Einnahme der Medikamente</w:t>
      </w:r>
      <w:r w:rsidR="00D95A91" w:rsidRPr="00EE1185">
        <w:t xml:space="preserve"> fällt</w:t>
      </w:r>
      <w:r w:rsidR="00A77529" w:rsidRPr="00EE1185">
        <w:t>.</w:t>
      </w:r>
    </w:p>
    <w:p w14:paraId="4A9B8F73" w14:textId="0E5BFAEE" w:rsidR="00D41EA7" w:rsidRPr="00EE1185" w:rsidRDefault="00AE1BE4" w:rsidP="008D68C3">
      <w:pPr>
        <w:ind w:firstLine="708"/>
      </w:pPr>
      <w:r w:rsidRPr="00EE1185">
        <w:t>Auch wäre es wünschenswert, wenn f</w:t>
      </w:r>
      <w:r w:rsidR="00D41EA7" w:rsidRPr="00EE1185">
        <w:t xml:space="preserve">orschungsseitig ein spezifisches Erfassungsinstrument zur Belastungsmessung bei </w:t>
      </w:r>
      <w:r w:rsidR="008D68C3" w:rsidRPr="00EE1185">
        <w:t>HTx</w:t>
      </w:r>
      <w:r w:rsidR="00D41EA7" w:rsidRPr="00EE1185">
        <w:t xml:space="preserve"> entwickelt werden</w:t>
      </w:r>
      <w:r w:rsidRPr="00EE1185">
        <w:t xml:space="preserve"> würde</w:t>
      </w:r>
      <w:r w:rsidR="00D41EA7" w:rsidRPr="00EE1185">
        <w:t xml:space="preserve">. </w:t>
      </w:r>
    </w:p>
    <w:p w14:paraId="37B47BF5" w14:textId="77777777" w:rsidR="000E5399" w:rsidRPr="00EE1185" w:rsidRDefault="000E5399" w:rsidP="00144346">
      <w:pPr>
        <w:ind w:firstLine="708"/>
      </w:pPr>
    </w:p>
    <w:p w14:paraId="2FEAAA80" w14:textId="14AD2608" w:rsidR="00366BB6" w:rsidRPr="00EE1185" w:rsidRDefault="000E5399" w:rsidP="00144346">
      <w:pPr>
        <w:ind w:firstLine="708"/>
      </w:pPr>
      <w:r w:rsidRPr="00EE1185">
        <w:t xml:space="preserve">Weitere Ergebnisse der Studie: </w:t>
      </w:r>
      <w:r w:rsidR="00533229" w:rsidRPr="00EE1185">
        <w:t xml:space="preserve">Erwähnenswert ist </w:t>
      </w:r>
      <w:r w:rsidR="006A0104" w:rsidRPr="00EE1185">
        <w:t>auch</w:t>
      </w:r>
      <w:r w:rsidR="00533229" w:rsidRPr="00EE1185">
        <w:t xml:space="preserve">, dass die psychische Belastung im Laufe der </w:t>
      </w:r>
      <w:r w:rsidR="00F00D68" w:rsidRPr="00EE1185">
        <w:t>ersten Jahre</w:t>
      </w:r>
      <w:r w:rsidR="00533229" w:rsidRPr="00EE1185">
        <w:t xml:space="preserve"> nach der Transplantation kontinuierlich abzunehmen scheint, während nach ca. 15 Jahren wieder ein Anstieg der empfunden Belastung zu erkennen ist. Außerdem weisen Frauen eine im Durchschnitt stärkere psychische Belastung als Männer auf </w:t>
      </w:r>
      <w:r w:rsidR="00533229" w:rsidRPr="00EE1185">
        <w:lastRenderedPageBreak/>
        <w:t xml:space="preserve">- dies ist sowohl bei Angstsymptomen als auch bei Depressionswerten über alle Gruppen (HTx, Herzinsuffiziente, Gesunde) </w:t>
      </w:r>
      <w:r w:rsidR="00F00D68" w:rsidRPr="00EE1185">
        <w:t xml:space="preserve">hinweg </w:t>
      </w:r>
      <w:r w:rsidR="00533229" w:rsidRPr="00EE1185">
        <w:t>zu sehen.</w:t>
      </w:r>
    </w:p>
    <w:p w14:paraId="23137710" w14:textId="3ECDCD6C" w:rsidR="00C070F4" w:rsidRDefault="00C070F4" w:rsidP="00C070F4">
      <w:pPr>
        <w:ind w:firstLine="0"/>
      </w:pPr>
      <w:r w:rsidRPr="00EE1185">
        <w:tab/>
        <w:t>Abschließend möchte ich noch die Ergebnisse des Thermo-TX-Fragebogens teilen. Dieser Fragebogen hat die teilnehmenden HTx gebeten, anzugeben, welche der aufgeführten 22 Punkte (Item</w:t>
      </w:r>
      <w:r w:rsidR="006A0104" w:rsidRPr="00EE1185">
        <w:t>s</w:t>
      </w:r>
      <w:r w:rsidRPr="00EE1185">
        <w:t xml:space="preserve">) ihnen Sorgen bereitet. Die Angst vor Infektionen war dabei der </w:t>
      </w:r>
      <w:r w:rsidR="006A0104" w:rsidRPr="00EE1185">
        <w:t>Aspekt,</w:t>
      </w:r>
      <w:r w:rsidRPr="00EE1185">
        <w:t xml:space="preserve"> der mit 64,6% fast 2/3 der HTx belastet</w:t>
      </w:r>
      <w:r w:rsidR="00083CAD" w:rsidRPr="00EE1185">
        <w:t>. Ähnlich belastend wurden eine geistige oder körperliche Erschöpfung und die verstärkte Aufmerksamkeit auf Körpersymptome empfunden (jeweils 57,8 % der HTX fühlten sich diesbezüglich belastet; s. Tabelle</w:t>
      </w:r>
      <w:r w:rsidR="006B6575" w:rsidRPr="00EE1185">
        <w:t xml:space="preserve"> der Top 5</w:t>
      </w:r>
      <w:r w:rsidR="00083CAD" w:rsidRPr="00EE1185">
        <w:t>)</w:t>
      </w:r>
      <w:r>
        <w:t xml:space="preserve"> </w:t>
      </w:r>
    </w:p>
    <w:p w14:paraId="3ABFC927" w14:textId="77777777" w:rsidR="00C070F4" w:rsidRPr="005C18DE" w:rsidRDefault="00C070F4" w:rsidP="00C070F4">
      <w:pPr>
        <w:pStyle w:val="Beschriftung"/>
        <w:rPr>
          <w:szCs w:val="24"/>
          <w:lang w:val="de-DE"/>
        </w:rPr>
      </w:pPr>
      <w:r w:rsidRPr="005C18DE">
        <w:rPr>
          <w:b w:val="0"/>
          <w:bCs w:val="0"/>
          <w:i/>
          <w:iCs/>
          <w:lang w:val="de-DE"/>
        </w:rPr>
        <w:t>Thermo-TX-Fragebogen - Nach Geschlechtern unterteilte Übersicht über die fünf Problem-Items mit dem höchsten Grad an Zustimmung</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2063"/>
        <w:gridCol w:w="2190"/>
        <w:gridCol w:w="1276"/>
        <w:gridCol w:w="1276"/>
        <w:gridCol w:w="1262"/>
      </w:tblGrid>
      <w:tr w:rsidR="00C070F4" w:rsidRPr="00C00C27" w14:paraId="3D167E2C" w14:textId="77777777" w:rsidTr="00AE5C6C">
        <w:trPr>
          <w:trHeight w:val="300"/>
        </w:trPr>
        <w:tc>
          <w:tcPr>
            <w:tcW w:w="987" w:type="dxa"/>
            <w:tcBorders>
              <w:top w:val="single" w:sz="4" w:space="0" w:color="auto"/>
              <w:bottom w:val="single" w:sz="4" w:space="0" w:color="auto"/>
            </w:tcBorders>
            <w:noWrap/>
            <w:hideMark/>
          </w:tcPr>
          <w:p w14:paraId="6A94C218" w14:textId="77777777" w:rsidR="00C070F4" w:rsidRPr="00C00C27" w:rsidRDefault="00C070F4" w:rsidP="00AE5C6C">
            <w:pPr>
              <w:spacing w:line="240" w:lineRule="auto"/>
              <w:ind w:firstLine="0"/>
              <w:rPr>
                <w:rFonts w:ascii="Calibri" w:eastAsia="Times New Roman" w:hAnsi="Calibri" w:cs="Calibri"/>
                <w:color w:val="000000"/>
                <w:sz w:val="22"/>
                <w:lang w:eastAsia="de-DE"/>
                <w14:ligatures w14:val="none"/>
              </w:rPr>
            </w:pPr>
            <w:r w:rsidRPr="00C00C27">
              <w:rPr>
                <w:rFonts w:ascii="Calibri" w:eastAsia="Times New Roman" w:hAnsi="Calibri" w:cs="Calibri"/>
                <w:color w:val="000000"/>
                <w:sz w:val="22"/>
                <w:lang w:eastAsia="de-DE"/>
                <w14:ligatures w14:val="none"/>
              </w:rPr>
              <w:t>"Top 5"</w:t>
            </w:r>
          </w:p>
        </w:tc>
        <w:tc>
          <w:tcPr>
            <w:tcW w:w="2063" w:type="dxa"/>
            <w:tcBorders>
              <w:top w:val="single" w:sz="4" w:space="0" w:color="auto"/>
              <w:bottom w:val="single" w:sz="4" w:space="0" w:color="auto"/>
            </w:tcBorders>
            <w:noWrap/>
            <w:hideMark/>
          </w:tcPr>
          <w:p w14:paraId="67E70642" w14:textId="77777777" w:rsidR="00C070F4" w:rsidRPr="00C00C27" w:rsidRDefault="00C070F4" w:rsidP="00AE5C6C">
            <w:pPr>
              <w:spacing w:line="240" w:lineRule="auto"/>
              <w:ind w:firstLine="0"/>
              <w:rPr>
                <w:rFonts w:ascii="Calibri" w:eastAsia="Times New Roman" w:hAnsi="Calibri" w:cs="Calibri"/>
                <w:color w:val="000000"/>
                <w:sz w:val="22"/>
                <w:lang w:eastAsia="de-DE"/>
                <w14:ligatures w14:val="none"/>
              </w:rPr>
            </w:pPr>
            <w:proofErr w:type="spellStart"/>
            <w:r w:rsidRPr="00C00C27">
              <w:rPr>
                <w:rFonts w:ascii="Calibri" w:eastAsia="Times New Roman" w:hAnsi="Calibri" w:cs="Calibri"/>
                <w:color w:val="000000"/>
                <w:sz w:val="22"/>
                <w:lang w:eastAsia="de-DE"/>
                <w14:ligatures w14:val="none"/>
              </w:rPr>
              <w:t>Problembereich</w:t>
            </w:r>
            <w:proofErr w:type="spellEnd"/>
          </w:p>
        </w:tc>
        <w:tc>
          <w:tcPr>
            <w:tcW w:w="2190" w:type="dxa"/>
            <w:tcBorders>
              <w:top w:val="single" w:sz="4" w:space="0" w:color="auto"/>
              <w:bottom w:val="single" w:sz="4" w:space="0" w:color="auto"/>
            </w:tcBorders>
            <w:noWrap/>
            <w:hideMark/>
          </w:tcPr>
          <w:p w14:paraId="24E7EF44" w14:textId="77777777" w:rsidR="00C070F4" w:rsidRPr="00C00C27" w:rsidRDefault="00C070F4" w:rsidP="00AE5C6C">
            <w:pPr>
              <w:spacing w:line="240" w:lineRule="auto"/>
              <w:ind w:firstLine="0"/>
              <w:rPr>
                <w:rFonts w:ascii="Calibri" w:eastAsia="Times New Roman" w:hAnsi="Calibri" w:cs="Calibri"/>
                <w:color w:val="000000"/>
                <w:sz w:val="22"/>
                <w:lang w:eastAsia="de-DE"/>
                <w14:ligatures w14:val="none"/>
              </w:rPr>
            </w:pPr>
            <w:r w:rsidRPr="00C00C27">
              <w:rPr>
                <w:rFonts w:ascii="Calibri" w:eastAsia="Times New Roman" w:hAnsi="Calibri" w:cs="Calibri"/>
                <w:color w:val="000000"/>
                <w:sz w:val="22"/>
                <w:lang w:eastAsia="de-DE"/>
                <w14:ligatures w14:val="none"/>
              </w:rPr>
              <w:t>Item</w:t>
            </w:r>
          </w:p>
        </w:tc>
        <w:tc>
          <w:tcPr>
            <w:tcW w:w="1276" w:type="dxa"/>
            <w:tcBorders>
              <w:top w:val="single" w:sz="4" w:space="0" w:color="auto"/>
              <w:bottom w:val="single" w:sz="4" w:space="0" w:color="auto"/>
            </w:tcBorders>
            <w:noWrap/>
            <w:hideMark/>
          </w:tcPr>
          <w:p w14:paraId="70D2BCA5" w14:textId="77777777" w:rsidR="00C070F4" w:rsidRPr="00C00C27" w:rsidRDefault="00C070F4" w:rsidP="00AE5C6C">
            <w:pPr>
              <w:spacing w:line="240" w:lineRule="auto"/>
              <w:ind w:firstLine="0"/>
              <w:rPr>
                <w:rFonts w:ascii="Calibri" w:eastAsia="Times New Roman" w:hAnsi="Calibri" w:cs="Calibri"/>
                <w:color w:val="000000"/>
                <w:sz w:val="22"/>
                <w:lang w:eastAsia="de-DE"/>
                <w14:ligatures w14:val="none"/>
              </w:rPr>
            </w:pPr>
            <w:proofErr w:type="spellStart"/>
            <w:r w:rsidRPr="00C00C27">
              <w:rPr>
                <w:rFonts w:ascii="Calibri" w:eastAsia="Times New Roman" w:hAnsi="Calibri" w:cs="Calibri"/>
                <w:color w:val="000000"/>
                <w:sz w:val="22"/>
                <w:lang w:eastAsia="de-DE"/>
                <w14:ligatures w14:val="none"/>
              </w:rPr>
              <w:t>Gesamt</w:t>
            </w:r>
            <w:proofErr w:type="spellEnd"/>
          </w:p>
        </w:tc>
        <w:tc>
          <w:tcPr>
            <w:tcW w:w="1276" w:type="dxa"/>
            <w:tcBorders>
              <w:top w:val="single" w:sz="4" w:space="0" w:color="auto"/>
              <w:bottom w:val="single" w:sz="4" w:space="0" w:color="auto"/>
            </w:tcBorders>
            <w:noWrap/>
            <w:hideMark/>
          </w:tcPr>
          <w:p w14:paraId="5F9C07F1" w14:textId="77777777" w:rsidR="00C070F4" w:rsidRPr="00C00C27" w:rsidRDefault="00C070F4" w:rsidP="00AE5C6C">
            <w:pPr>
              <w:spacing w:line="240" w:lineRule="auto"/>
              <w:ind w:firstLine="0"/>
              <w:jc w:val="center"/>
              <w:rPr>
                <w:rFonts w:ascii="Calibri" w:eastAsia="Times New Roman" w:hAnsi="Calibri" w:cs="Calibri"/>
                <w:color w:val="000000"/>
                <w:sz w:val="22"/>
                <w:lang w:eastAsia="de-DE"/>
                <w14:ligatures w14:val="none"/>
              </w:rPr>
            </w:pPr>
            <w:proofErr w:type="spellStart"/>
            <w:r w:rsidRPr="00C00C27">
              <w:rPr>
                <w:rFonts w:ascii="Calibri" w:eastAsia="Times New Roman" w:hAnsi="Calibri" w:cs="Calibri"/>
                <w:color w:val="000000"/>
                <w:sz w:val="22"/>
                <w:lang w:eastAsia="de-DE"/>
                <w14:ligatures w14:val="none"/>
              </w:rPr>
              <w:t>männlich</w:t>
            </w:r>
            <w:proofErr w:type="spellEnd"/>
          </w:p>
        </w:tc>
        <w:tc>
          <w:tcPr>
            <w:tcW w:w="1262" w:type="dxa"/>
            <w:tcBorders>
              <w:top w:val="single" w:sz="4" w:space="0" w:color="auto"/>
              <w:bottom w:val="single" w:sz="4" w:space="0" w:color="auto"/>
            </w:tcBorders>
            <w:noWrap/>
            <w:hideMark/>
          </w:tcPr>
          <w:p w14:paraId="7FE98815" w14:textId="77777777" w:rsidR="00C070F4" w:rsidRPr="00C00C27" w:rsidRDefault="00C070F4" w:rsidP="00AE5C6C">
            <w:pPr>
              <w:spacing w:line="240" w:lineRule="auto"/>
              <w:ind w:firstLine="0"/>
              <w:jc w:val="center"/>
              <w:rPr>
                <w:rFonts w:ascii="Calibri" w:eastAsia="Times New Roman" w:hAnsi="Calibri" w:cs="Calibri"/>
                <w:color w:val="000000"/>
                <w:sz w:val="22"/>
                <w:lang w:eastAsia="de-DE"/>
                <w14:ligatures w14:val="none"/>
              </w:rPr>
            </w:pPr>
            <w:proofErr w:type="spellStart"/>
            <w:r w:rsidRPr="00C00C27">
              <w:rPr>
                <w:rFonts w:ascii="Calibri" w:eastAsia="Times New Roman" w:hAnsi="Calibri" w:cs="Calibri"/>
                <w:color w:val="000000"/>
                <w:sz w:val="22"/>
                <w:lang w:eastAsia="de-DE"/>
                <w14:ligatures w14:val="none"/>
              </w:rPr>
              <w:t>weiblich</w:t>
            </w:r>
            <w:proofErr w:type="spellEnd"/>
          </w:p>
        </w:tc>
      </w:tr>
      <w:tr w:rsidR="00C070F4" w:rsidRPr="00C00C27" w14:paraId="086BDE43" w14:textId="77777777" w:rsidTr="00AE5C6C">
        <w:trPr>
          <w:trHeight w:val="300"/>
        </w:trPr>
        <w:tc>
          <w:tcPr>
            <w:tcW w:w="987" w:type="dxa"/>
            <w:tcBorders>
              <w:top w:val="single" w:sz="4" w:space="0" w:color="auto"/>
            </w:tcBorders>
            <w:noWrap/>
          </w:tcPr>
          <w:p w14:paraId="22F3313B" w14:textId="77777777" w:rsidR="00C070F4" w:rsidRPr="00C00C27" w:rsidRDefault="00C070F4" w:rsidP="00AE5C6C">
            <w:pPr>
              <w:pStyle w:val="Listenabsatz"/>
              <w:numPr>
                <w:ilvl w:val="0"/>
                <w:numId w:val="3"/>
              </w:numPr>
              <w:spacing w:line="240" w:lineRule="auto"/>
              <w:jc w:val="right"/>
              <w:rPr>
                <w:rFonts w:ascii="Calibri" w:eastAsia="Times New Roman" w:hAnsi="Calibri" w:cs="Calibri"/>
                <w:color w:val="000000"/>
                <w:sz w:val="22"/>
                <w:lang w:eastAsia="de-DE"/>
                <w14:ligatures w14:val="none"/>
              </w:rPr>
            </w:pPr>
          </w:p>
        </w:tc>
        <w:tc>
          <w:tcPr>
            <w:tcW w:w="2063" w:type="dxa"/>
            <w:tcBorders>
              <w:top w:val="single" w:sz="4" w:space="0" w:color="auto"/>
            </w:tcBorders>
            <w:noWrap/>
            <w:hideMark/>
          </w:tcPr>
          <w:p w14:paraId="66B476B4" w14:textId="77777777" w:rsidR="00C070F4" w:rsidRPr="00C00C27" w:rsidRDefault="00C070F4" w:rsidP="00AE5C6C">
            <w:pPr>
              <w:spacing w:line="240" w:lineRule="auto"/>
              <w:ind w:firstLine="0"/>
              <w:rPr>
                <w:rFonts w:ascii="Calibri" w:eastAsia="Times New Roman" w:hAnsi="Calibri" w:cs="Calibri"/>
                <w:color w:val="000000"/>
                <w:sz w:val="22"/>
                <w:lang w:eastAsia="de-DE"/>
                <w14:ligatures w14:val="none"/>
              </w:rPr>
            </w:pPr>
            <w:proofErr w:type="spellStart"/>
            <w:r w:rsidRPr="00C00C27">
              <w:rPr>
                <w:rFonts w:ascii="Calibri" w:eastAsia="Times New Roman" w:hAnsi="Calibri" w:cs="Calibri"/>
                <w:color w:val="000000"/>
                <w:sz w:val="22"/>
                <w:lang w:eastAsia="de-DE"/>
                <w14:ligatures w14:val="none"/>
              </w:rPr>
              <w:t>Sorgen</w:t>
            </w:r>
            <w:proofErr w:type="spellEnd"/>
            <w:r w:rsidRPr="00C00C27">
              <w:rPr>
                <w:rFonts w:ascii="Calibri" w:eastAsia="Times New Roman" w:hAnsi="Calibri" w:cs="Calibri"/>
                <w:color w:val="000000"/>
                <w:sz w:val="22"/>
                <w:lang w:eastAsia="de-DE"/>
                <w14:ligatures w14:val="none"/>
              </w:rPr>
              <w:t xml:space="preserve"> und </w:t>
            </w:r>
            <w:proofErr w:type="spellStart"/>
            <w:r w:rsidRPr="00C00C27">
              <w:rPr>
                <w:rFonts w:ascii="Calibri" w:eastAsia="Times New Roman" w:hAnsi="Calibri" w:cs="Calibri"/>
                <w:color w:val="000000"/>
                <w:sz w:val="22"/>
                <w:lang w:eastAsia="de-DE"/>
                <w14:ligatures w14:val="none"/>
              </w:rPr>
              <w:t>Ängste</w:t>
            </w:r>
            <w:proofErr w:type="spellEnd"/>
          </w:p>
        </w:tc>
        <w:tc>
          <w:tcPr>
            <w:tcW w:w="2190" w:type="dxa"/>
            <w:tcBorders>
              <w:top w:val="single" w:sz="4" w:space="0" w:color="auto"/>
            </w:tcBorders>
            <w:noWrap/>
            <w:hideMark/>
          </w:tcPr>
          <w:p w14:paraId="343AC22A" w14:textId="77777777" w:rsidR="00C070F4" w:rsidRPr="00C00C27" w:rsidRDefault="00C070F4" w:rsidP="00AE5C6C">
            <w:pPr>
              <w:spacing w:line="240" w:lineRule="auto"/>
              <w:ind w:firstLine="0"/>
              <w:rPr>
                <w:rFonts w:ascii="Calibri" w:eastAsia="Times New Roman" w:hAnsi="Calibri" w:cs="Calibri"/>
                <w:color w:val="000000"/>
                <w:sz w:val="22"/>
                <w:lang w:eastAsia="de-DE"/>
                <w14:ligatures w14:val="none"/>
              </w:rPr>
            </w:pPr>
            <w:proofErr w:type="spellStart"/>
            <w:r w:rsidRPr="00C00C27">
              <w:rPr>
                <w:rFonts w:ascii="Calibri" w:eastAsia="Times New Roman" w:hAnsi="Calibri" w:cs="Calibri"/>
                <w:color w:val="000000"/>
                <w:sz w:val="22"/>
                <w:lang w:eastAsia="de-DE"/>
                <w14:ligatures w14:val="none"/>
              </w:rPr>
              <w:t>vor</w:t>
            </w:r>
            <w:proofErr w:type="spellEnd"/>
            <w:r w:rsidRPr="00C00C27">
              <w:rPr>
                <w:rFonts w:ascii="Calibri" w:eastAsia="Times New Roman" w:hAnsi="Calibri" w:cs="Calibri"/>
                <w:color w:val="000000"/>
                <w:sz w:val="22"/>
                <w:lang w:eastAsia="de-DE"/>
                <w14:ligatures w14:val="none"/>
              </w:rPr>
              <w:t xml:space="preserve"> </w:t>
            </w:r>
            <w:proofErr w:type="spellStart"/>
            <w:r w:rsidRPr="00C00C27">
              <w:rPr>
                <w:rFonts w:ascii="Calibri" w:eastAsia="Times New Roman" w:hAnsi="Calibri" w:cs="Calibri"/>
                <w:color w:val="000000"/>
                <w:sz w:val="22"/>
                <w:lang w:eastAsia="de-DE"/>
                <w14:ligatures w14:val="none"/>
              </w:rPr>
              <w:t>Infektionen</w:t>
            </w:r>
            <w:proofErr w:type="spellEnd"/>
          </w:p>
        </w:tc>
        <w:tc>
          <w:tcPr>
            <w:tcW w:w="1276" w:type="dxa"/>
            <w:tcBorders>
              <w:top w:val="single" w:sz="4" w:space="0" w:color="auto"/>
            </w:tcBorders>
            <w:noWrap/>
            <w:hideMark/>
          </w:tcPr>
          <w:p w14:paraId="4D3798E1" w14:textId="77777777" w:rsidR="00C070F4" w:rsidRPr="00C00C27" w:rsidRDefault="00C070F4" w:rsidP="00AE5C6C">
            <w:pPr>
              <w:spacing w:line="240" w:lineRule="auto"/>
              <w:ind w:firstLine="0"/>
              <w:jc w:val="center"/>
              <w:rPr>
                <w:rFonts w:ascii="Calibri" w:eastAsia="Times New Roman" w:hAnsi="Calibri" w:cs="Calibri"/>
                <w:color w:val="000000"/>
                <w:sz w:val="22"/>
                <w:lang w:eastAsia="de-DE"/>
                <w14:ligatures w14:val="none"/>
              </w:rPr>
            </w:pPr>
            <w:r w:rsidRPr="00C00C27">
              <w:rPr>
                <w:rFonts w:ascii="Calibri" w:eastAsia="Times New Roman" w:hAnsi="Calibri" w:cs="Calibri"/>
                <w:color w:val="000000"/>
                <w:sz w:val="22"/>
                <w:lang w:eastAsia="de-DE"/>
                <w14:ligatures w14:val="none"/>
              </w:rPr>
              <w:t>64,6</w:t>
            </w:r>
            <w:r>
              <w:rPr>
                <w:rFonts w:ascii="Calibri" w:eastAsia="Times New Roman" w:hAnsi="Calibri" w:cs="Calibri"/>
                <w:color w:val="000000"/>
                <w:sz w:val="22"/>
                <w:lang w:eastAsia="de-DE"/>
                <w14:ligatures w14:val="none"/>
              </w:rPr>
              <w:t xml:space="preserve"> %</w:t>
            </w:r>
          </w:p>
        </w:tc>
        <w:tc>
          <w:tcPr>
            <w:tcW w:w="1276" w:type="dxa"/>
            <w:tcBorders>
              <w:top w:val="single" w:sz="4" w:space="0" w:color="auto"/>
            </w:tcBorders>
            <w:noWrap/>
            <w:hideMark/>
          </w:tcPr>
          <w:p w14:paraId="68F0BE7C" w14:textId="77777777" w:rsidR="00C070F4" w:rsidRPr="00C00C27" w:rsidRDefault="00C070F4" w:rsidP="00AE5C6C">
            <w:pPr>
              <w:spacing w:line="240" w:lineRule="auto"/>
              <w:ind w:firstLine="0"/>
              <w:jc w:val="center"/>
              <w:rPr>
                <w:rFonts w:ascii="Calibri" w:eastAsia="Times New Roman" w:hAnsi="Calibri" w:cs="Calibri"/>
                <w:color w:val="000000"/>
                <w:sz w:val="22"/>
                <w:lang w:eastAsia="de-DE"/>
                <w14:ligatures w14:val="none"/>
              </w:rPr>
            </w:pPr>
            <w:r w:rsidRPr="00C00C27">
              <w:rPr>
                <w:rFonts w:ascii="Calibri" w:eastAsia="Times New Roman" w:hAnsi="Calibri" w:cs="Calibri"/>
                <w:color w:val="000000"/>
                <w:sz w:val="22"/>
                <w:lang w:eastAsia="de-DE"/>
                <w14:ligatures w14:val="none"/>
              </w:rPr>
              <w:t>62,2</w:t>
            </w:r>
            <w:r>
              <w:rPr>
                <w:rFonts w:ascii="Calibri" w:eastAsia="Times New Roman" w:hAnsi="Calibri" w:cs="Calibri"/>
                <w:color w:val="000000"/>
                <w:sz w:val="22"/>
                <w:lang w:eastAsia="de-DE"/>
                <w14:ligatures w14:val="none"/>
              </w:rPr>
              <w:t xml:space="preserve"> %</w:t>
            </w:r>
          </w:p>
        </w:tc>
        <w:tc>
          <w:tcPr>
            <w:tcW w:w="1262" w:type="dxa"/>
            <w:tcBorders>
              <w:top w:val="single" w:sz="4" w:space="0" w:color="auto"/>
            </w:tcBorders>
            <w:noWrap/>
            <w:hideMark/>
          </w:tcPr>
          <w:p w14:paraId="76C89793" w14:textId="77777777" w:rsidR="00C070F4" w:rsidRPr="00C00C27" w:rsidRDefault="00C070F4" w:rsidP="00AE5C6C">
            <w:pPr>
              <w:spacing w:line="240" w:lineRule="auto"/>
              <w:ind w:firstLine="0"/>
              <w:jc w:val="center"/>
              <w:rPr>
                <w:rFonts w:ascii="Calibri" w:eastAsia="Times New Roman" w:hAnsi="Calibri" w:cs="Calibri"/>
                <w:color w:val="000000"/>
                <w:sz w:val="22"/>
                <w:lang w:eastAsia="de-DE"/>
                <w14:ligatures w14:val="none"/>
              </w:rPr>
            </w:pPr>
            <w:r w:rsidRPr="00C00C27">
              <w:rPr>
                <w:rFonts w:ascii="Calibri" w:eastAsia="Times New Roman" w:hAnsi="Calibri" w:cs="Calibri"/>
                <w:color w:val="000000"/>
                <w:sz w:val="22"/>
                <w:lang w:eastAsia="de-DE"/>
                <w14:ligatures w14:val="none"/>
              </w:rPr>
              <w:t>67,9</w:t>
            </w:r>
            <w:r>
              <w:rPr>
                <w:rFonts w:ascii="Calibri" w:eastAsia="Times New Roman" w:hAnsi="Calibri" w:cs="Calibri"/>
                <w:color w:val="000000"/>
                <w:sz w:val="22"/>
                <w:lang w:eastAsia="de-DE"/>
                <w14:ligatures w14:val="none"/>
              </w:rPr>
              <w:t xml:space="preserve"> %</w:t>
            </w:r>
          </w:p>
        </w:tc>
      </w:tr>
      <w:tr w:rsidR="00C070F4" w:rsidRPr="00C00C27" w14:paraId="7331A408" w14:textId="77777777" w:rsidTr="00AE5C6C">
        <w:trPr>
          <w:trHeight w:val="300"/>
        </w:trPr>
        <w:tc>
          <w:tcPr>
            <w:tcW w:w="987" w:type="dxa"/>
            <w:noWrap/>
          </w:tcPr>
          <w:p w14:paraId="2D3A6D8F" w14:textId="77777777" w:rsidR="00C070F4" w:rsidRPr="00C00C27" w:rsidRDefault="00C070F4" w:rsidP="00AE5C6C">
            <w:pPr>
              <w:pStyle w:val="Listenabsatz"/>
              <w:numPr>
                <w:ilvl w:val="0"/>
                <w:numId w:val="3"/>
              </w:numPr>
              <w:spacing w:line="240" w:lineRule="auto"/>
              <w:jc w:val="right"/>
              <w:rPr>
                <w:rFonts w:ascii="Calibri" w:eastAsia="Times New Roman" w:hAnsi="Calibri" w:cs="Calibri"/>
                <w:color w:val="000000"/>
                <w:sz w:val="22"/>
                <w:lang w:eastAsia="de-DE"/>
                <w14:ligatures w14:val="none"/>
              </w:rPr>
            </w:pPr>
          </w:p>
        </w:tc>
        <w:tc>
          <w:tcPr>
            <w:tcW w:w="2063" w:type="dxa"/>
            <w:noWrap/>
            <w:hideMark/>
          </w:tcPr>
          <w:p w14:paraId="3589C9C9" w14:textId="77777777" w:rsidR="00C070F4" w:rsidRPr="00C00C27" w:rsidRDefault="00C070F4" w:rsidP="00AE5C6C">
            <w:pPr>
              <w:spacing w:line="240" w:lineRule="auto"/>
              <w:ind w:firstLine="0"/>
              <w:rPr>
                <w:rFonts w:ascii="Calibri" w:eastAsia="Times New Roman" w:hAnsi="Calibri" w:cs="Calibri"/>
                <w:color w:val="000000"/>
                <w:sz w:val="22"/>
                <w:lang w:eastAsia="de-DE"/>
                <w14:ligatures w14:val="none"/>
              </w:rPr>
            </w:pPr>
            <w:proofErr w:type="spellStart"/>
            <w:r w:rsidRPr="00C00C27">
              <w:rPr>
                <w:rFonts w:ascii="Calibri" w:eastAsia="Times New Roman" w:hAnsi="Calibri" w:cs="Calibri"/>
                <w:color w:val="000000"/>
                <w:sz w:val="22"/>
                <w:lang w:eastAsia="de-DE"/>
                <w14:ligatures w14:val="none"/>
              </w:rPr>
              <w:t>Körperliche</w:t>
            </w:r>
            <w:proofErr w:type="spellEnd"/>
            <w:r w:rsidRPr="00C00C27">
              <w:rPr>
                <w:rFonts w:ascii="Calibri" w:eastAsia="Times New Roman" w:hAnsi="Calibri" w:cs="Calibri"/>
                <w:color w:val="000000"/>
                <w:sz w:val="22"/>
                <w:lang w:eastAsia="de-DE"/>
                <w14:ligatures w14:val="none"/>
              </w:rPr>
              <w:t xml:space="preserve"> und </w:t>
            </w:r>
            <w:proofErr w:type="spellStart"/>
            <w:r w:rsidRPr="00C00C27">
              <w:rPr>
                <w:rFonts w:ascii="Calibri" w:eastAsia="Times New Roman" w:hAnsi="Calibri" w:cs="Calibri"/>
                <w:color w:val="000000"/>
                <w:sz w:val="22"/>
                <w:lang w:eastAsia="de-DE"/>
                <w14:ligatures w14:val="none"/>
              </w:rPr>
              <w:t>seelische</w:t>
            </w:r>
            <w:proofErr w:type="spellEnd"/>
            <w:r w:rsidRPr="00C00C27">
              <w:rPr>
                <w:rFonts w:ascii="Calibri" w:eastAsia="Times New Roman" w:hAnsi="Calibri" w:cs="Calibri"/>
                <w:color w:val="000000"/>
                <w:sz w:val="22"/>
                <w:lang w:eastAsia="de-DE"/>
                <w14:ligatures w14:val="none"/>
              </w:rPr>
              <w:t xml:space="preserve"> </w:t>
            </w:r>
            <w:proofErr w:type="spellStart"/>
            <w:r w:rsidRPr="00C00C27">
              <w:rPr>
                <w:rFonts w:ascii="Calibri" w:eastAsia="Times New Roman" w:hAnsi="Calibri" w:cs="Calibri"/>
                <w:color w:val="000000"/>
                <w:sz w:val="22"/>
                <w:lang w:eastAsia="de-DE"/>
                <w14:ligatures w14:val="none"/>
              </w:rPr>
              <w:t>Probleme</w:t>
            </w:r>
            <w:proofErr w:type="spellEnd"/>
          </w:p>
        </w:tc>
        <w:tc>
          <w:tcPr>
            <w:tcW w:w="2190" w:type="dxa"/>
            <w:noWrap/>
            <w:hideMark/>
          </w:tcPr>
          <w:p w14:paraId="020EFEC3" w14:textId="77777777" w:rsidR="00C070F4" w:rsidRPr="00C00C27" w:rsidRDefault="00C070F4" w:rsidP="00AE5C6C">
            <w:pPr>
              <w:spacing w:line="240" w:lineRule="auto"/>
              <w:ind w:firstLine="0"/>
              <w:rPr>
                <w:rFonts w:ascii="Calibri" w:eastAsia="Times New Roman" w:hAnsi="Calibri" w:cs="Calibri"/>
                <w:color w:val="000000"/>
                <w:sz w:val="22"/>
                <w:lang w:eastAsia="de-DE"/>
                <w14:ligatures w14:val="none"/>
              </w:rPr>
            </w:pPr>
            <w:proofErr w:type="spellStart"/>
            <w:r w:rsidRPr="00C00C27">
              <w:rPr>
                <w:rFonts w:ascii="Calibri" w:eastAsia="Times New Roman" w:hAnsi="Calibri" w:cs="Calibri"/>
                <w:color w:val="000000"/>
                <w:sz w:val="22"/>
                <w:lang w:eastAsia="de-DE"/>
                <w14:ligatures w14:val="none"/>
              </w:rPr>
              <w:t>Erschöpfung</w:t>
            </w:r>
            <w:proofErr w:type="spellEnd"/>
            <w:r w:rsidRPr="00C00C27">
              <w:rPr>
                <w:rFonts w:ascii="Calibri" w:eastAsia="Times New Roman" w:hAnsi="Calibri" w:cs="Calibri"/>
                <w:color w:val="000000"/>
                <w:sz w:val="22"/>
                <w:lang w:eastAsia="de-DE"/>
                <w14:ligatures w14:val="none"/>
              </w:rPr>
              <w:t xml:space="preserve">, </w:t>
            </w:r>
            <w:proofErr w:type="spellStart"/>
            <w:r w:rsidRPr="00C00C27">
              <w:rPr>
                <w:rFonts w:ascii="Calibri" w:eastAsia="Times New Roman" w:hAnsi="Calibri" w:cs="Calibri"/>
                <w:color w:val="000000"/>
                <w:sz w:val="22"/>
                <w:lang w:eastAsia="de-DE"/>
                <w14:ligatures w14:val="none"/>
              </w:rPr>
              <w:t>geistig</w:t>
            </w:r>
            <w:proofErr w:type="spellEnd"/>
            <w:r w:rsidRPr="00C00C27">
              <w:rPr>
                <w:rFonts w:ascii="Calibri" w:eastAsia="Times New Roman" w:hAnsi="Calibri" w:cs="Calibri"/>
                <w:color w:val="000000"/>
                <w:sz w:val="22"/>
                <w:lang w:eastAsia="de-DE"/>
                <w14:ligatures w14:val="none"/>
              </w:rPr>
              <w:t xml:space="preserve"> </w:t>
            </w:r>
            <w:proofErr w:type="spellStart"/>
            <w:r w:rsidRPr="00C00C27">
              <w:rPr>
                <w:rFonts w:ascii="Calibri" w:eastAsia="Times New Roman" w:hAnsi="Calibri" w:cs="Calibri"/>
                <w:color w:val="000000"/>
                <w:sz w:val="22"/>
                <w:lang w:eastAsia="de-DE"/>
                <w14:ligatures w14:val="none"/>
              </w:rPr>
              <w:t>oder</w:t>
            </w:r>
            <w:proofErr w:type="spellEnd"/>
            <w:r w:rsidRPr="00C00C27">
              <w:rPr>
                <w:rFonts w:ascii="Calibri" w:eastAsia="Times New Roman" w:hAnsi="Calibri" w:cs="Calibri"/>
                <w:color w:val="000000"/>
                <w:sz w:val="22"/>
                <w:lang w:eastAsia="de-DE"/>
                <w14:ligatures w14:val="none"/>
              </w:rPr>
              <w:t xml:space="preserve"> </w:t>
            </w:r>
            <w:proofErr w:type="spellStart"/>
            <w:r w:rsidRPr="00C00C27">
              <w:rPr>
                <w:rFonts w:ascii="Calibri" w:eastAsia="Times New Roman" w:hAnsi="Calibri" w:cs="Calibri"/>
                <w:color w:val="000000"/>
                <w:sz w:val="22"/>
                <w:lang w:eastAsia="de-DE"/>
                <w14:ligatures w14:val="none"/>
              </w:rPr>
              <w:t>körperlich</w:t>
            </w:r>
            <w:proofErr w:type="spellEnd"/>
          </w:p>
        </w:tc>
        <w:tc>
          <w:tcPr>
            <w:tcW w:w="1276" w:type="dxa"/>
            <w:noWrap/>
            <w:hideMark/>
          </w:tcPr>
          <w:p w14:paraId="1450310B" w14:textId="77777777" w:rsidR="00C070F4" w:rsidRPr="00C00C27" w:rsidRDefault="00C070F4" w:rsidP="00AE5C6C">
            <w:pPr>
              <w:spacing w:line="240" w:lineRule="auto"/>
              <w:ind w:firstLine="0"/>
              <w:jc w:val="center"/>
              <w:rPr>
                <w:rFonts w:ascii="Calibri" w:eastAsia="Times New Roman" w:hAnsi="Calibri" w:cs="Calibri"/>
                <w:color w:val="000000"/>
                <w:sz w:val="22"/>
                <w:lang w:eastAsia="de-DE"/>
                <w14:ligatures w14:val="none"/>
              </w:rPr>
            </w:pPr>
            <w:r w:rsidRPr="00C00C27">
              <w:rPr>
                <w:rFonts w:ascii="Calibri" w:eastAsia="Times New Roman" w:hAnsi="Calibri" w:cs="Calibri"/>
                <w:color w:val="000000"/>
                <w:sz w:val="22"/>
                <w:lang w:eastAsia="de-DE"/>
                <w14:ligatures w14:val="none"/>
              </w:rPr>
              <w:t>57,8</w:t>
            </w:r>
            <w:r>
              <w:rPr>
                <w:rFonts w:ascii="Calibri" w:eastAsia="Times New Roman" w:hAnsi="Calibri" w:cs="Calibri"/>
                <w:color w:val="000000"/>
                <w:sz w:val="22"/>
                <w:lang w:eastAsia="de-DE"/>
                <w14:ligatures w14:val="none"/>
              </w:rPr>
              <w:t xml:space="preserve"> %</w:t>
            </w:r>
          </w:p>
        </w:tc>
        <w:tc>
          <w:tcPr>
            <w:tcW w:w="1276" w:type="dxa"/>
            <w:noWrap/>
            <w:hideMark/>
          </w:tcPr>
          <w:p w14:paraId="6376414C" w14:textId="77777777" w:rsidR="00C070F4" w:rsidRPr="00C00C27" w:rsidRDefault="00C070F4" w:rsidP="00AE5C6C">
            <w:pPr>
              <w:spacing w:line="240" w:lineRule="auto"/>
              <w:ind w:firstLine="0"/>
              <w:jc w:val="center"/>
              <w:rPr>
                <w:rFonts w:ascii="Calibri" w:eastAsia="Times New Roman" w:hAnsi="Calibri" w:cs="Calibri"/>
                <w:color w:val="000000"/>
                <w:sz w:val="22"/>
                <w:lang w:eastAsia="de-DE"/>
                <w14:ligatures w14:val="none"/>
              </w:rPr>
            </w:pPr>
            <w:r w:rsidRPr="00C00C27">
              <w:rPr>
                <w:rFonts w:ascii="Calibri" w:eastAsia="Times New Roman" w:hAnsi="Calibri" w:cs="Calibri"/>
                <w:color w:val="000000"/>
                <w:sz w:val="22"/>
                <w:lang w:eastAsia="de-DE"/>
                <w14:ligatures w14:val="none"/>
              </w:rPr>
              <w:t>55,6</w:t>
            </w:r>
            <w:r>
              <w:rPr>
                <w:rFonts w:ascii="Calibri" w:eastAsia="Times New Roman" w:hAnsi="Calibri" w:cs="Calibri"/>
                <w:color w:val="000000"/>
                <w:sz w:val="22"/>
                <w:lang w:eastAsia="de-DE"/>
                <w14:ligatures w14:val="none"/>
              </w:rPr>
              <w:t xml:space="preserve"> %</w:t>
            </w:r>
          </w:p>
        </w:tc>
        <w:tc>
          <w:tcPr>
            <w:tcW w:w="1262" w:type="dxa"/>
            <w:noWrap/>
            <w:hideMark/>
          </w:tcPr>
          <w:p w14:paraId="4AB3EA55" w14:textId="77777777" w:rsidR="00C070F4" w:rsidRPr="00C00C27" w:rsidRDefault="00C070F4" w:rsidP="00AE5C6C">
            <w:pPr>
              <w:spacing w:line="240" w:lineRule="auto"/>
              <w:ind w:firstLine="0"/>
              <w:jc w:val="center"/>
              <w:rPr>
                <w:rFonts w:ascii="Calibri" w:eastAsia="Times New Roman" w:hAnsi="Calibri" w:cs="Calibri"/>
                <w:color w:val="000000"/>
                <w:sz w:val="22"/>
                <w:lang w:eastAsia="de-DE"/>
                <w14:ligatures w14:val="none"/>
              </w:rPr>
            </w:pPr>
            <w:r w:rsidRPr="00C00C27">
              <w:rPr>
                <w:rFonts w:ascii="Calibri" w:eastAsia="Times New Roman" w:hAnsi="Calibri" w:cs="Calibri"/>
                <w:color w:val="000000"/>
                <w:sz w:val="22"/>
                <w:lang w:eastAsia="de-DE"/>
                <w14:ligatures w14:val="none"/>
              </w:rPr>
              <w:t>60,7</w:t>
            </w:r>
            <w:r>
              <w:rPr>
                <w:rFonts w:ascii="Calibri" w:eastAsia="Times New Roman" w:hAnsi="Calibri" w:cs="Calibri"/>
                <w:color w:val="000000"/>
                <w:sz w:val="22"/>
                <w:lang w:eastAsia="de-DE"/>
                <w14:ligatures w14:val="none"/>
              </w:rPr>
              <w:t xml:space="preserve"> %</w:t>
            </w:r>
          </w:p>
        </w:tc>
      </w:tr>
      <w:tr w:rsidR="00C070F4" w:rsidRPr="00C00C27" w14:paraId="7DC7BECB" w14:textId="77777777" w:rsidTr="00AE5C6C">
        <w:trPr>
          <w:trHeight w:val="300"/>
        </w:trPr>
        <w:tc>
          <w:tcPr>
            <w:tcW w:w="987" w:type="dxa"/>
            <w:noWrap/>
          </w:tcPr>
          <w:p w14:paraId="526EA8FD" w14:textId="77777777" w:rsidR="00C070F4" w:rsidRPr="00C00C27" w:rsidRDefault="00C070F4" w:rsidP="00AE5C6C">
            <w:pPr>
              <w:pStyle w:val="Listenabsatz"/>
              <w:numPr>
                <w:ilvl w:val="0"/>
                <w:numId w:val="3"/>
              </w:numPr>
              <w:spacing w:line="240" w:lineRule="auto"/>
              <w:jc w:val="right"/>
              <w:rPr>
                <w:rFonts w:ascii="Calibri" w:eastAsia="Times New Roman" w:hAnsi="Calibri" w:cs="Calibri"/>
                <w:color w:val="000000"/>
                <w:sz w:val="22"/>
                <w:lang w:eastAsia="de-DE"/>
                <w14:ligatures w14:val="none"/>
              </w:rPr>
            </w:pPr>
          </w:p>
        </w:tc>
        <w:tc>
          <w:tcPr>
            <w:tcW w:w="2063" w:type="dxa"/>
            <w:noWrap/>
            <w:hideMark/>
          </w:tcPr>
          <w:p w14:paraId="7A55C2E8" w14:textId="77777777" w:rsidR="00C070F4" w:rsidRPr="00C00C27" w:rsidRDefault="00C070F4" w:rsidP="00AE5C6C">
            <w:pPr>
              <w:spacing w:line="240" w:lineRule="auto"/>
              <w:ind w:firstLine="0"/>
              <w:rPr>
                <w:rFonts w:ascii="Calibri" w:eastAsia="Times New Roman" w:hAnsi="Calibri" w:cs="Calibri"/>
                <w:color w:val="000000"/>
                <w:sz w:val="22"/>
                <w:lang w:eastAsia="de-DE"/>
                <w14:ligatures w14:val="none"/>
              </w:rPr>
            </w:pPr>
            <w:proofErr w:type="spellStart"/>
            <w:r w:rsidRPr="00C00C27">
              <w:rPr>
                <w:rFonts w:ascii="Calibri" w:eastAsia="Times New Roman" w:hAnsi="Calibri" w:cs="Calibri"/>
                <w:color w:val="000000"/>
                <w:sz w:val="22"/>
                <w:lang w:eastAsia="de-DE"/>
                <w14:ligatures w14:val="none"/>
              </w:rPr>
              <w:t>Körperliche</w:t>
            </w:r>
            <w:proofErr w:type="spellEnd"/>
            <w:r w:rsidRPr="00C00C27">
              <w:rPr>
                <w:rFonts w:ascii="Calibri" w:eastAsia="Times New Roman" w:hAnsi="Calibri" w:cs="Calibri"/>
                <w:color w:val="000000"/>
                <w:sz w:val="22"/>
                <w:lang w:eastAsia="de-DE"/>
                <w14:ligatures w14:val="none"/>
              </w:rPr>
              <w:t xml:space="preserve"> und </w:t>
            </w:r>
            <w:proofErr w:type="spellStart"/>
            <w:r w:rsidRPr="00C00C27">
              <w:rPr>
                <w:rFonts w:ascii="Calibri" w:eastAsia="Times New Roman" w:hAnsi="Calibri" w:cs="Calibri"/>
                <w:color w:val="000000"/>
                <w:sz w:val="22"/>
                <w:lang w:eastAsia="de-DE"/>
                <w14:ligatures w14:val="none"/>
              </w:rPr>
              <w:t>seelische</w:t>
            </w:r>
            <w:proofErr w:type="spellEnd"/>
            <w:r w:rsidRPr="00C00C27">
              <w:rPr>
                <w:rFonts w:ascii="Calibri" w:eastAsia="Times New Roman" w:hAnsi="Calibri" w:cs="Calibri"/>
                <w:color w:val="000000"/>
                <w:sz w:val="22"/>
                <w:lang w:eastAsia="de-DE"/>
                <w14:ligatures w14:val="none"/>
              </w:rPr>
              <w:t xml:space="preserve"> </w:t>
            </w:r>
            <w:proofErr w:type="spellStart"/>
            <w:r w:rsidRPr="00C00C27">
              <w:rPr>
                <w:rFonts w:ascii="Calibri" w:eastAsia="Times New Roman" w:hAnsi="Calibri" w:cs="Calibri"/>
                <w:color w:val="000000"/>
                <w:sz w:val="22"/>
                <w:lang w:eastAsia="de-DE"/>
                <w14:ligatures w14:val="none"/>
              </w:rPr>
              <w:t>Probleme</w:t>
            </w:r>
            <w:proofErr w:type="spellEnd"/>
          </w:p>
        </w:tc>
        <w:tc>
          <w:tcPr>
            <w:tcW w:w="2190" w:type="dxa"/>
            <w:noWrap/>
            <w:hideMark/>
          </w:tcPr>
          <w:p w14:paraId="472325AF" w14:textId="77777777" w:rsidR="00C070F4" w:rsidRPr="00C00C27" w:rsidRDefault="00C070F4" w:rsidP="00AE5C6C">
            <w:pPr>
              <w:spacing w:line="240" w:lineRule="auto"/>
              <w:ind w:firstLine="0"/>
              <w:rPr>
                <w:rFonts w:ascii="Calibri" w:eastAsia="Times New Roman" w:hAnsi="Calibri" w:cs="Calibri"/>
                <w:color w:val="000000"/>
                <w:sz w:val="22"/>
                <w:lang w:eastAsia="de-DE"/>
                <w14:ligatures w14:val="none"/>
              </w:rPr>
            </w:pPr>
            <w:proofErr w:type="spellStart"/>
            <w:r w:rsidRPr="00C00C27">
              <w:rPr>
                <w:rFonts w:ascii="Calibri" w:eastAsia="Times New Roman" w:hAnsi="Calibri" w:cs="Calibri"/>
                <w:color w:val="000000"/>
                <w:sz w:val="22"/>
                <w:lang w:eastAsia="de-DE"/>
                <w14:ligatures w14:val="none"/>
              </w:rPr>
              <w:t>Verstärkte</w:t>
            </w:r>
            <w:proofErr w:type="spellEnd"/>
            <w:r w:rsidRPr="00C00C27">
              <w:rPr>
                <w:rFonts w:ascii="Calibri" w:eastAsia="Times New Roman" w:hAnsi="Calibri" w:cs="Calibri"/>
                <w:color w:val="000000"/>
                <w:sz w:val="22"/>
                <w:lang w:eastAsia="de-DE"/>
                <w14:ligatures w14:val="none"/>
              </w:rPr>
              <w:t xml:space="preserve"> </w:t>
            </w:r>
            <w:proofErr w:type="spellStart"/>
            <w:r w:rsidRPr="00C00C27">
              <w:rPr>
                <w:rFonts w:ascii="Calibri" w:eastAsia="Times New Roman" w:hAnsi="Calibri" w:cs="Calibri"/>
                <w:color w:val="000000"/>
                <w:sz w:val="22"/>
                <w:lang w:eastAsia="de-DE"/>
                <w14:ligatures w14:val="none"/>
              </w:rPr>
              <w:t>Aufmerksamkeit</w:t>
            </w:r>
            <w:proofErr w:type="spellEnd"/>
            <w:r w:rsidRPr="00C00C27">
              <w:rPr>
                <w:rFonts w:ascii="Calibri" w:eastAsia="Times New Roman" w:hAnsi="Calibri" w:cs="Calibri"/>
                <w:color w:val="000000"/>
                <w:sz w:val="22"/>
                <w:lang w:eastAsia="de-DE"/>
                <w14:ligatures w14:val="none"/>
              </w:rPr>
              <w:t xml:space="preserve"> auf </w:t>
            </w:r>
            <w:proofErr w:type="spellStart"/>
            <w:r w:rsidRPr="00C00C27">
              <w:rPr>
                <w:rFonts w:ascii="Calibri" w:eastAsia="Times New Roman" w:hAnsi="Calibri" w:cs="Calibri"/>
                <w:color w:val="000000"/>
                <w:sz w:val="22"/>
                <w:lang w:eastAsia="de-DE"/>
                <w14:ligatures w14:val="none"/>
              </w:rPr>
              <w:t>Körpersymptome</w:t>
            </w:r>
            <w:proofErr w:type="spellEnd"/>
          </w:p>
        </w:tc>
        <w:tc>
          <w:tcPr>
            <w:tcW w:w="1276" w:type="dxa"/>
            <w:noWrap/>
            <w:hideMark/>
          </w:tcPr>
          <w:p w14:paraId="2A697787" w14:textId="77777777" w:rsidR="00C070F4" w:rsidRPr="00C00C27" w:rsidRDefault="00C070F4" w:rsidP="00AE5C6C">
            <w:pPr>
              <w:spacing w:line="240" w:lineRule="auto"/>
              <w:ind w:firstLine="0"/>
              <w:jc w:val="center"/>
              <w:rPr>
                <w:rFonts w:ascii="Calibri" w:eastAsia="Times New Roman" w:hAnsi="Calibri" w:cs="Calibri"/>
                <w:color w:val="000000"/>
                <w:sz w:val="22"/>
                <w:lang w:eastAsia="de-DE"/>
                <w14:ligatures w14:val="none"/>
              </w:rPr>
            </w:pPr>
            <w:r w:rsidRPr="00C00C27">
              <w:rPr>
                <w:rFonts w:ascii="Calibri" w:eastAsia="Times New Roman" w:hAnsi="Calibri" w:cs="Calibri"/>
                <w:color w:val="000000"/>
                <w:sz w:val="22"/>
                <w:lang w:eastAsia="de-DE"/>
                <w14:ligatures w14:val="none"/>
              </w:rPr>
              <w:t>57,8</w:t>
            </w:r>
            <w:r>
              <w:rPr>
                <w:rFonts w:ascii="Calibri" w:eastAsia="Times New Roman" w:hAnsi="Calibri" w:cs="Calibri"/>
                <w:color w:val="000000"/>
                <w:sz w:val="22"/>
                <w:lang w:eastAsia="de-DE"/>
                <w14:ligatures w14:val="none"/>
              </w:rPr>
              <w:t xml:space="preserve"> %</w:t>
            </w:r>
          </w:p>
        </w:tc>
        <w:tc>
          <w:tcPr>
            <w:tcW w:w="1276" w:type="dxa"/>
            <w:noWrap/>
            <w:hideMark/>
          </w:tcPr>
          <w:p w14:paraId="2B1B3E6D" w14:textId="77777777" w:rsidR="00C070F4" w:rsidRPr="00C00C27" w:rsidRDefault="00C070F4" w:rsidP="00AE5C6C">
            <w:pPr>
              <w:spacing w:line="240" w:lineRule="auto"/>
              <w:ind w:firstLine="0"/>
              <w:jc w:val="center"/>
              <w:rPr>
                <w:rFonts w:ascii="Calibri" w:eastAsia="Times New Roman" w:hAnsi="Calibri" w:cs="Calibri"/>
                <w:color w:val="000000"/>
                <w:sz w:val="22"/>
                <w:lang w:eastAsia="de-DE"/>
                <w14:ligatures w14:val="none"/>
              </w:rPr>
            </w:pPr>
            <w:r w:rsidRPr="00C00C27">
              <w:rPr>
                <w:rFonts w:ascii="Calibri" w:eastAsia="Times New Roman" w:hAnsi="Calibri" w:cs="Calibri"/>
                <w:color w:val="000000"/>
                <w:sz w:val="22"/>
                <w:lang w:eastAsia="de-DE"/>
                <w14:ligatures w14:val="none"/>
              </w:rPr>
              <w:t>58,3</w:t>
            </w:r>
            <w:r>
              <w:rPr>
                <w:rFonts w:ascii="Calibri" w:eastAsia="Times New Roman" w:hAnsi="Calibri" w:cs="Calibri"/>
                <w:color w:val="000000"/>
                <w:sz w:val="22"/>
                <w:lang w:eastAsia="de-DE"/>
                <w14:ligatures w14:val="none"/>
              </w:rPr>
              <w:t xml:space="preserve"> %</w:t>
            </w:r>
          </w:p>
        </w:tc>
        <w:tc>
          <w:tcPr>
            <w:tcW w:w="1262" w:type="dxa"/>
            <w:noWrap/>
            <w:hideMark/>
          </w:tcPr>
          <w:p w14:paraId="4F36A0E8" w14:textId="77777777" w:rsidR="00C070F4" w:rsidRPr="00C00C27" w:rsidRDefault="00C070F4" w:rsidP="00AE5C6C">
            <w:pPr>
              <w:spacing w:line="240" w:lineRule="auto"/>
              <w:ind w:firstLine="0"/>
              <w:jc w:val="center"/>
              <w:rPr>
                <w:rFonts w:ascii="Calibri" w:eastAsia="Times New Roman" w:hAnsi="Calibri" w:cs="Calibri"/>
                <w:color w:val="000000"/>
                <w:sz w:val="22"/>
                <w:lang w:eastAsia="de-DE"/>
                <w14:ligatures w14:val="none"/>
              </w:rPr>
            </w:pPr>
            <w:r w:rsidRPr="00C00C27">
              <w:rPr>
                <w:rFonts w:ascii="Calibri" w:eastAsia="Times New Roman" w:hAnsi="Calibri" w:cs="Calibri"/>
                <w:color w:val="000000"/>
                <w:sz w:val="22"/>
                <w:lang w:eastAsia="de-DE"/>
                <w14:ligatures w14:val="none"/>
              </w:rPr>
              <w:t>57,1</w:t>
            </w:r>
            <w:r>
              <w:rPr>
                <w:rFonts w:ascii="Calibri" w:eastAsia="Times New Roman" w:hAnsi="Calibri" w:cs="Calibri"/>
                <w:color w:val="000000"/>
                <w:sz w:val="22"/>
                <w:lang w:eastAsia="de-DE"/>
                <w14:ligatures w14:val="none"/>
              </w:rPr>
              <w:t xml:space="preserve"> %</w:t>
            </w:r>
          </w:p>
        </w:tc>
      </w:tr>
      <w:tr w:rsidR="00C070F4" w:rsidRPr="00C00C27" w14:paraId="48128588" w14:textId="77777777" w:rsidTr="00AE5C6C">
        <w:trPr>
          <w:trHeight w:val="300"/>
        </w:trPr>
        <w:tc>
          <w:tcPr>
            <w:tcW w:w="987" w:type="dxa"/>
            <w:noWrap/>
          </w:tcPr>
          <w:p w14:paraId="72EF5BC4" w14:textId="77777777" w:rsidR="00C070F4" w:rsidRPr="00C00C27" w:rsidRDefault="00C070F4" w:rsidP="00AE5C6C">
            <w:pPr>
              <w:pStyle w:val="Listenabsatz"/>
              <w:numPr>
                <w:ilvl w:val="0"/>
                <w:numId w:val="3"/>
              </w:numPr>
              <w:spacing w:line="240" w:lineRule="auto"/>
              <w:jc w:val="right"/>
              <w:rPr>
                <w:rFonts w:ascii="Calibri" w:eastAsia="Times New Roman" w:hAnsi="Calibri" w:cs="Calibri"/>
                <w:color w:val="000000"/>
                <w:sz w:val="22"/>
                <w:lang w:eastAsia="de-DE"/>
                <w14:ligatures w14:val="none"/>
              </w:rPr>
            </w:pPr>
          </w:p>
        </w:tc>
        <w:tc>
          <w:tcPr>
            <w:tcW w:w="2063" w:type="dxa"/>
            <w:noWrap/>
            <w:hideMark/>
          </w:tcPr>
          <w:p w14:paraId="63A06F4D" w14:textId="77777777" w:rsidR="00C070F4" w:rsidRPr="00C00C27" w:rsidRDefault="00C070F4" w:rsidP="00AE5C6C">
            <w:pPr>
              <w:spacing w:line="240" w:lineRule="auto"/>
              <w:ind w:firstLine="0"/>
              <w:rPr>
                <w:rFonts w:ascii="Calibri" w:eastAsia="Times New Roman" w:hAnsi="Calibri" w:cs="Calibri"/>
                <w:color w:val="000000"/>
                <w:sz w:val="22"/>
                <w:lang w:eastAsia="de-DE"/>
                <w14:ligatures w14:val="none"/>
              </w:rPr>
            </w:pPr>
            <w:proofErr w:type="spellStart"/>
            <w:r w:rsidRPr="00C00C27">
              <w:rPr>
                <w:rFonts w:ascii="Calibri" w:eastAsia="Times New Roman" w:hAnsi="Calibri" w:cs="Calibri"/>
                <w:color w:val="000000"/>
                <w:sz w:val="22"/>
                <w:lang w:eastAsia="de-DE"/>
                <w14:ligatures w14:val="none"/>
              </w:rPr>
              <w:t>Soziale</w:t>
            </w:r>
            <w:proofErr w:type="spellEnd"/>
            <w:r w:rsidRPr="00C00C27">
              <w:rPr>
                <w:rFonts w:ascii="Calibri" w:eastAsia="Times New Roman" w:hAnsi="Calibri" w:cs="Calibri"/>
                <w:color w:val="000000"/>
                <w:sz w:val="22"/>
                <w:lang w:eastAsia="de-DE"/>
                <w14:ligatures w14:val="none"/>
              </w:rPr>
              <w:t xml:space="preserve"> </w:t>
            </w:r>
            <w:proofErr w:type="spellStart"/>
            <w:r w:rsidRPr="00C00C27">
              <w:rPr>
                <w:rFonts w:ascii="Calibri" w:eastAsia="Times New Roman" w:hAnsi="Calibri" w:cs="Calibri"/>
                <w:color w:val="000000"/>
                <w:sz w:val="22"/>
                <w:lang w:eastAsia="de-DE"/>
                <w14:ligatures w14:val="none"/>
              </w:rPr>
              <w:t>Probleme</w:t>
            </w:r>
            <w:proofErr w:type="spellEnd"/>
            <w:r w:rsidRPr="00C00C27">
              <w:rPr>
                <w:rFonts w:ascii="Calibri" w:eastAsia="Times New Roman" w:hAnsi="Calibri" w:cs="Calibri"/>
                <w:color w:val="000000"/>
                <w:sz w:val="22"/>
                <w:lang w:eastAsia="de-DE"/>
                <w14:ligatures w14:val="none"/>
              </w:rPr>
              <w:t xml:space="preserve"> </w:t>
            </w:r>
          </w:p>
        </w:tc>
        <w:tc>
          <w:tcPr>
            <w:tcW w:w="2190" w:type="dxa"/>
            <w:noWrap/>
            <w:hideMark/>
          </w:tcPr>
          <w:p w14:paraId="1CDADBFB" w14:textId="77777777" w:rsidR="00C070F4" w:rsidRPr="00C00C27" w:rsidRDefault="00C070F4" w:rsidP="00AE5C6C">
            <w:pPr>
              <w:spacing w:line="240" w:lineRule="auto"/>
              <w:ind w:firstLine="0"/>
              <w:rPr>
                <w:rFonts w:ascii="Calibri" w:eastAsia="Times New Roman" w:hAnsi="Calibri" w:cs="Calibri"/>
                <w:color w:val="000000"/>
                <w:sz w:val="22"/>
                <w:lang w:eastAsia="de-DE"/>
                <w14:ligatures w14:val="none"/>
              </w:rPr>
            </w:pPr>
            <w:r w:rsidRPr="00C00C27">
              <w:rPr>
                <w:rFonts w:ascii="Calibri" w:eastAsia="Times New Roman" w:hAnsi="Calibri" w:cs="Calibri"/>
                <w:color w:val="000000"/>
                <w:sz w:val="22"/>
                <w:lang w:eastAsia="de-DE"/>
                <w14:ligatures w14:val="none"/>
              </w:rPr>
              <w:t xml:space="preserve">Sorge um die </w:t>
            </w:r>
            <w:proofErr w:type="spellStart"/>
            <w:r w:rsidRPr="00C00C27">
              <w:rPr>
                <w:rFonts w:ascii="Calibri" w:eastAsia="Times New Roman" w:hAnsi="Calibri" w:cs="Calibri"/>
                <w:color w:val="000000"/>
                <w:sz w:val="22"/>
                <w:lang w:eastAsia="de-DE"/>
                <w14:ligatures w14:val="none"/>
              </w:rPr>
              <w:t>Angehörigen</w:t>
            </w:r>
            <w:proofErr w:type="spellEnd"/>
          </w:p>
        </w:tc>
        <w:tc>
          <w:tcPr>
            <w:tcW w:w="1276" w:type="dxa"/>
            <w:noWrap/>
            <w:hideMark/>
          </w:tcPr>
          <w:p w14:paraId="1335DB17" w14:textId="77777777" w:rsidR="00C070F4" w:rsidRPr="00C00C27" w:rsidRDefault="00C070F4" w:rsidP="00AE5C6C">
            <w:pPr>
              <w:spacing w:line="240" w:lineRule="auto"/>
              <w:ind w:firstLine="0"/>
              <w:jc w:val="center"/>
              <w:rPr>
                <w:rFonts w:ascii="Calibri" w:eastAsia="Times New Roman" w:hAnsi="Calibri" w:cs="Calibri"/>
                <w:color w:val="000000"/>
                <w:sz w:val="22"/>
                <w:lang w:eastAsia="de-DE"/>
                <w14:ligatures w14:val="none"/>
              </w:rPr>
            </w:pPr>
            <w:r w:rsidRPr="00C00C27">
              <w:rPr>
                <w:rFonts w:ascii="Calibri" w:eastAsia="Times New Roman" w:hAnsi="Calibri" w:cs="Calibri"/>
                <w:color w:val="000000"/>
                <w:sz w:val="22"/>
                <w:lang w:eastAsia="de-DE"/>
                <w14:ligatures w14:val="none"/>
              </w:rPr>
              <w:t>50,0</w:t>
            </w:r>
            <w:r>
              <w:rPr>
                <w:rFonts w:ascii="Calibri" w:eastAsia="Times New Roman" w:hAnsi="Calibri" w:cs="Calibri"/>
                <w:color w:val="000000"/>
                <w:sz w:val="22"/>
                <w:lang w:eastAsia="de-DE"/>
                <w14:ligatures w14:val="none"/>
              </w:rPr>
              <w:t xml:space="preserve"> %</w:t>
            </w:r>
          </w:p>
        </w:tc>
        <w:tc>
          <w:tcPr>
            <w:tcW w:w="1276" w:type="dxa"/>
            <w:noWrap/>
            <w:hideMark/>
          </w:tcPr>
          <w:p w14:paraId="1422CFF5" w14:textId="77777777" w:rsidR="00C070F4" w:rsidRPr="00C00C27" w:rsidRDefault="00C070F4" w:rsidP="00AE5C6C">
            <w:pPr>
              <w:spacing w:line="240" w:lineRule="auto"/>
              <w:ind w:firstLine="0"/>
              <w:jc w:val="center"/>
              <w:rPr>
                <w:rFonts w:ascii="Calibri" w:eastAsia="Times New Roman" w:hAnsi="Calibri" w:cs="Calibri"/>
                <w:color w:val="000000"/>
                <w:sz w:val="22"/>
                <w:lang w:eastAsia="de-DE"/>
                <w14:ligatures w14:val="none"/>
              </w:rPr>
            </w:pPr>
            <w:r w:rsidRPr="00C00C27">
              <w:rPr>
                <w:rFonts w:ascii="Calibri" w:eastAsia="Times New Roman" w:hAnsi="Calibri" w:cs="Calibri"/>
                <w:color w:val="000000"/>
                <w:sz w:val="22"/>
                <w:lang w:eastAsia="de-DE"/>
                <w14:ligatures w14:val="none"/>
              </w:rPr>
              <w:t>44,4</w:t>
            </w:r>
            <w:r>
              <w:rPr>
                <w:rFonts w:ascii="Calibri" w:eastAsia="Times New Roman" w:hAnsi="Calibri" w:cs="Calibri"/>
                <w:color w:val="000000"/>
                <w:sz w:val="22"/>
                <w:lang w:eastAsia="de-DE"/>
                <w14:ligatures w14:val="none"/>
              </w:rPr>
              <w:t xml:space="preserve"> %</w:t>
            </w:r>
          </w:p>
        </w:tc>
        <w:tc>
          <w:tcPr>
            <w:tcW w:w="1262" w:type="dxa"/>
            <w:noWrap/>
            <w:hideMark/>
          </w:tcPr>
          <w:p w14:paraId="1690B23D" w14:textId="77777777" w:rsidR="00C070F4" w:rsidRPr="00C00C27" w:rsidRDefault="00C070F4" w:rsidP="00AE5C6C">
            <w:pPr>
              <w:spacing w:line="240" w:lineRule="auto"/>
              <w:ind w:firstLine="0"/>
              <w:jc w:val="center"/>
              <w:rPr>
                <w:rFonts w:ascii="Calibri" w:eastAsia="Times New Roman" w:hAnsi="Calibri" w:cs="Calibri"/>
                <w:color w:val="000000"/>
                <w:sz w:val="22"/>
                <w:lang w:eastAsia="de-DE"/>
                <w14:ligatures w14:val="none"/>
              </w:rPr>
            </w:pPr>
            <w:r w:rsidRPr="00C00C27">
              <w:rPr>
                <w:rFonts w:ascii="Calibri" w:eastAsia="Times New Roman" w:hAnsi="Calibri" w:cs="Calibri"/>
                <w:color w:val="000000"/>
                <w:sz w:val="22"/>
                <w:lang w:eastAsia="de-DE"/>
                <w14:ligatures w14:val="none"/>
              </w:rPr>
              <w:t>57,1</w:t>
            </w:r>
            <w:r>
              <w:rPr>
                <w:rFonts w:ascii="Calibri" w:eastAsia="Times New Roman" w:hAnsi="Calibri" w:cs="Calibri"/>
                <w:color w:val="000000"/>
                <w:sz w:val="22"/>
                <w:lang w:eastAsia="de-DE"/>
                <w14:ligatures w14:val="none"/>
              </w:rPr>
              <w:t xml:space="preserve"> %</w:t>
            </w:r>
          </w:p>
        </w:tc>
      </w:tr>
      <w:tr w:rsidR="00C070F4" w:rsidRPr="00C00C27" w14:paraId="25253CC8" w14:textId="77777777" w:rsidTr="00AE5C6C">
        <w:trPr>
          <w:trHeight w:val="300"/>
        </w:trPr>
        <w:tc>
          <w:tcPr>
            <w:tcW w:w="987" w:type="dxa"/>
            <w:noWrap/>
          </w:tcPr>
          <w:p w14:paraId="0999952A" w14:textId="77777777" w:rsidR="00C070F4" w:rsidRPr="00C00C27" w:rsidRDefault="00C070F4" w:rsidP="00AE5C6C">
            <w:pPr>
              <w:pStyle w:val="Listenabsatz"/>
              <w:numPr>
                <w:ilvl w:val="0"/>
                <w:numId w:val="3"/>
              </w:numPr>
              <w:spacing w:line="240" w:lineRule="auto"/>
              <w:jc w:val="right"/>
              <w:rPr>
                <w:rFonts w:ascii="Calibri" w:eastAsia="Times New Roman" w:hAnsi="Calibri" w:cs="Calibri"/>
                <w:color w:val="000000"/>
                <w:sz w:val="22"/>
                <w:lang w:eastAsia="de-DE"/>
                <w14:ligatures w14:val="none"/>
              </w:rPr>
            </w:pPr>
          </w:p>
        </w:tc>
        <w:tc>
          <w:tcPr>
            <w:tcW w:w="2063" w:type="dxa"/>
            <w:noWrap/>
            <w:hideMark/>
          </w:tcPr>
          <w:p w14:paraId="63FC2F2B" w14:textId="77777777" w:rsidR="00C070F4" w:rsidRPr="00C00C27" w:rsidRDefault="00C070F4" w:rsidP="00AE5C6C">
            <w:pPr>
              <w:spacing w:line="240" w:lineRule="auto"/>
              <w:ind w:firstLine="0"/>
              <w:rPr>
                <w:rFonts w:ascii="Calibri" w:eastAsia="Times New Roman" w:hAnsi="Calibri" w:cs="Calibri"/>
                <w:color w:val="000000"/>
                <w:sz w:val="22"/>
                <w:lang w:eastAsia="de-DE"/>
                <w14:ligatures w14:val="none"/>
              </w:rPr>
            </w:pPr>
            <w:proofErr w:type="spellStart"/>
            <w:r w:rsidRPr="00C00C27">
              <w:rPr>
                <w:rFonts w:ascii="Calibri" w:eastAsia="Times New Roman" w:hAnsi="Calibri" w:cs="Calibri"/>
                <w:color w:val="000000"/>
                <w:sz w:val="22"/>
                <w:lang w:eastAsia="de-DE"/>
                <w14:ligatures w14:val="none"/>
              </w:rPr>
              <w:t>Sorgen</w:t>
            </w:r>
            <w:proofErr w:type="spellEnd"/>
            <w:r w:rsidRPr="00C00C27">
              <w:rPr>
                <w:rFonts w:ascii="Calibri" w:eastAsia="Times New Roman" w:hAnsi="Calibri" w:cs="Calibri"/>
                <w:color w:val="000000"/>
                <w:sz w:val="22"/>
                <w:lang w:eastAsia="de-DE"/>
                <w14:ligatures w14:val="none"/>
              </w:rPr>
              <w:t xml:space="preserve"> und </w:t>
            </w:r>
            <w:proofErr w:type="spellStart"/>
            <w:r w:rsidRPr="00C00C27">
              <w:rPr>
                <w:rFonts w:ascii="Calibri" w:eastAsia="Times New Roman" w:hAnsi="Calibri" w:cs="Calibri"/>
                <w:color w:val="000000"/>
                <w:sz w:val="22"/>
                <w:lang w:eastAsia="de-DE"/>
                <w14:ligatures w14:val="none"/>
              </w:rPr>
              <w:t>Ängste</w:t>
            </w:r>
            <w:proofErr w:type="spellEnd"/>
          </w:p>
        </w:tc>
        <w:tc>
          <w:tcPr>
            <w:tcW w:w="2190" w:type="dxa"/>
            <w:noWrap/>
            <w:hideMark/>
          </w:tcPr>
          <w:p w14:paraId="5CAA6653" w14:textId="77777777" w:rsidR="00C070F4" w:rsidRPr="00C00C27" w:rsidRDefault="00C070F4" w:rsidP="00AE5C6C">
            <w:pPr>
              <w:spacing w:line="240" w:lineRule="auto"/>
              <w:ind w:firstLine="0"/>
              <w:rPr>
                <w:rFonts w:ascii="Calibri" w:eastAsia="Times New Roman" w:hAnsi="Calibri" w:cs="Calibri"/>
                <w:color w:val="000000"/>
                <w:sz w:val="22"/>
                <w:lang w:eastAsia="de-DE"/>
                <w14:ligatures w14:val="none"/>
              </w:rPr>
            </w:pPr>
            <w:proofErr w:type="spellStart"/>
            <w:r w:rsidRPr="00C00C27">
              <w:rPr>
                <w:rFonts w:ascii="Calibri" w:eastAsia="Times New Roman" w:hAnsi="Calibri" w:cs="Calibri"/>
                <w:color w:val="000000"/>
                <w:sz w:val="22"/>
                <w:lang w:eastAsia="de-DE"/>
                <w14:ligatures w14:val="none"/>
              </w:rPr>
              <w:t>vor</w:t>
            </w:r>
            <w:proofErr w:type="spellEnd"/>
            <w:r w:rsidRPr="00C00C27">
              <w:rPr>
                <w:rFonts w:ascii="Calibri" w:eastAsia="Times New Roman" w:hAnsi="Calibri" w:cs="Calibri"/>
                <w:color w:val="000000"/>
                <w:sz w:val="22"/>
                <w:lang w:eastAsia="de-DE"/>
                <w14:ligatures w14:val="none"/>
              </w:rPr>
              <w:t xml:space="preserve"> </w:t>
            </w:r>
            <w:proofErr w:type="spellStart"/>
            <w:r w:rsidRPr="00C00C27">
              <w:rPr>
                <w:rFonts w:ascii="Calibri" w:eastAsia="Times New Roman" w:hAnsi="Calibri" w:cs="Calibri"/>
                <w:color w:val="000000"/>
                <w:sz w:val="22"/>
                <w:lang w:eastAsia="de-DE"/>
                <w14:ligatures w14:val="none"/>
              </w:rPr>
              <w:t>Nebenwirkungen</w:t>
            </w:r>
            <w:proofErr w:type="spellEnd"/>
            <w:r w:rsidRPr="00C00C27">
              <w:rPr>
                <w:rFonts w:ascii="Calibri" w:eastAsia="Times New Roman" w:hAnsi="Calibri" w:cs="Calibri"/>
                <w:color w:val="000000"/>
                <w:sz w:val="22"/>
                <w:lang w:eastAsia="de-DE"/>
                <w14:ligatures w14:val="none"/>
              </w:rPr>
              <w:t xml:space="preserve"> der </w:t>
            </w:r>
            <w:proofErr w:type="spellStart"/>
            <w:r w:rsidRPr="00C00C27">
              <w:rPr>
                <w:rFonts w:ascii="Calibri" w:eastAsia="Times New Roman" w:hAnsi="Calibri" w:cs="Calibri"/>
                <w:color w:val="000000"/>
                <w:sz w:val="22"/>
                <w:lang w:eastAsia="de-DE"/>
                <w14:ligatures w14:val="none"/>
              </w:rPr>
              <w:t>Medikamente</w:t>
            </w:r>
            <w:proofErr w:type="spellEnd"/>
          </w:p>
        </w:tc>
        <w:tc>
          <w:tcPr>
            <w:tcW w:w="1276" w:type="dxa"/>
            <w:noWrap/>
            <w:hideMark/>
          </w:tcPr>
          <w:p w14:paraId="102478F7" w14:textId="77777777" w:rsidR="00C070F4" w:rsidRPr="00C00C27" w:rsidRDefault="00C070F4" w:rsidP="00AE5C6C">
            <w:pPr>
              <w:spacing w:line="240" w:lineRule="auto"/>
              <w:ind w:firstLine="0"/>
              <w:jc w:val="center"/>
              <w:rPr>
                <w:rFonts w:ascii="Calibri" w:eastAsia="Times New Roman" w:hAnsi="Calibri" w:cs="Calibri"/>
                <w:color w:val="000000"/>
                <w:sz w:val="22"/>
                <w:lang w:eastAsia="de-DE"/>
                <w14:ligatures w14:val="none"/>
              </w:rPr>
            </w:pPr>
            <w:r w:rsidRPr="00C00C27">
              <w:rPr>
                <w:rFonts w:ascii="Calibri" w:eastAsia="Times New Roman" w:hAnsi="Calibri" w:cs="Calibri"/>
                <w:color w:val="000000"/>
                <w:sz w:val="22"/>
                <w:lang w:eastAsia="de-DE"/>
                <w14:ligatures w14:val="none"/>
              </w:rPr>
              <w:t>44,6</w:t>
            </w:r>
            <w:r>
              <w:rPr>
                <w:rFonts w:ascii="Calibri" w:eastAsia="Times New Roman" w:hAnsi="Calibri" w:cs="Calibri"/>
                <w:color w:val="000000"/>
                <w:sz w:val="22"/>
                <w:lang w:eastAsia="de-DE"/>
                <w14:ligatures w14:val="none"/>
              </w:rPr>
              <w:t xml:space="preserve"> %</w:t>
            </w:r>
          </w:p>
        </w:tc>
        <w:tc>
          <w:tcPr>
            <w:tcW w:w="1276" w:type="dxa"/>
            <w:noWrap/>
            <w:hideMark/>
          </w:tcPr>
          <w:p w14:paraId="6241440A" w14:textId="77777777" w:rsidR="00C070F4" w:rsidRPr="00C00C27" w:rsidRDefault="00C070F4" w:rsidP="00AE5C6C">
            <w:pPr>
              <w:spacing w:line="240" w:lineRule="auto"/>
              <w:ind w:firstLine="0"/>
              <w:jc w:val="center"/>
              <w:rPr>
                <w:rFonts w:ascii="Calibri" w:eastAsia="Times New Roman" w:hAnsi="Calibri" w:cs="Calibri"/>
                <w:color w:val="000000"/>
                <w:sz w:val="22"/>
                <w:lang w:eastAsia="de-DE"/>
                <w14:ligatures w14:val="none"/>
              </w:rPr>
            </w:pPr>
            <w:r w:rsidRPr="00C00C27">
              <w:rPr>
                <w:rFonts w:ascii="Calibri" w:eastAsia="Times New Roman" w:hAnsi="Calibri" w:cs="Calibri"/>
                <w:color w:val="000000"/>
                <w:sz w:val="22"/>
                <w:lang w:eastAsia="de-DE"/>
                <w14:ligatures w14:val="none"/>
              </w:rPr>
              <w:t>40,5</w:t>
            </w:r>
            <w:r>
              <w:rPr>
                <w:rFonts w:ascii="Calibri" w:eastAsia="Times New Roman" w:hAnsi="Calibri" w:cs="Calibri"/>
                <w:color w:val="000000"/>
                <w:sz w:val="22"/>
                <w:lang w:eastAsia="de-DE"/>
                <w14:ligatures w14:val="none"/>
              </w:rPr>
              <w:t xml:space="preserve"> %</w:t>
            </w:r>
          </w:p>
        </w:tc>
        <w:tc>
          <w:tcPr>
            <w:tcW w:w="1262" w:type="dxa"/>
            <w:noWrap/>
            <w:hideMark/>
          </w:tcPr>
          <w:p w14:paraId="7CDC2931" w14:textId="77777777" w:rsidR="00C070F4" w:rsidRPr="00C00C27" w:rsidRDefault="00C070F4" w:rsidP="00AE5C6C">
            <w:pPr>
              <w:spacing w:line="240" w:lineRule="auto"/>
              <w:ind w:firstLine="0"/>
              <w:jc w:val="center"/>
              <w:rPr>
                <w:rFonts w:ascii="Calibri" w:eastAsia="Times New Roman" w:hAnsi="Calibri" w:cs="Calibri"/>
                <w:color w:val="000000"/>
                <w:sz w:val="22"/>
                <w:lang w:eastAsia="de-DE"/>
                <w14:ligatures w14:val="none"/>
              </w:rPr>
            </w:pPr>
            <w:r w:rsidRPr="00C00C27">
              <w:rPr>
                <w:rFonts w:ascii="Calibri" w:eastAsia="Times New Roman" w:hAnsi="Calibri" w:cs="Calibri"/>
                <w:color w:val="000000"/>
                <w:sz w:val="22"/>
                <w:lang w:eastAsia="de-DE"/>
                <w14:ligatures w14:val="none"/>
              </w:rPr>
              <w:t>50,0</w:t>
            </w:r>
            <w:r>
              <w:rPr>
                <w:rFonts w:ascii="Calibri" w:eastAsia="Times New Roman" w:hAnsi="Calibri" w:cs="Calibri"/>
                <w:color w:val="000000"/>
                <w:sz w:val="22"/>
                <w:lang w:eastAsia="de-DE"/>
                <w14:ligatures w14:val="none"/>
              </w:rPr>
              <w:t xml:space="preserve"> %</w:t>
            </w:r>
          </w:p>
        </w:tc>
      </w:tr>
    </w:tbl>
    <w:p w14:paraId="41370867" w14:textId="77777777" w:rsidR="00C070F4" w:rsidRDefault="00C070F4" w:rsidP="00C070F4">
      <w:pPr>
        <w:spacing w:line="240" w:lineRule="auto"/>
        <w:ind w:firstLine="0"/>
        <w:rPr>
          <w:szCs w:val="24"/>
        </w:rPr>
      </w:pPr>
      <w:r>
        <w:rPr>
          <w:szCs w:val="24"/>
        </w:rPr>
        <w:tab/>
      </w:r>
    </w:p>
    <w:p w14:paraId="6141F779" w14:textId="3B2C6208" w:rsidR="00C070F4" w:rsidRDefault="00F165ED" w:rsidP="00F165ED">
      <w:pPr>
        <w:ind w:firstLine="708"/>
      </w:pPr>
      <w:r w:rsidRPr="00EE1185">
        <w:t>Die Studie beinhaltete auch eine</w:t>
      </w:r>
      <w:r w:rsidR="006059A2" w:rsidRPr="00EE1185">
        <w:t xml:space="preserve"> optional zu beantwortende Frage zu der zum Zeitpunkt der Befragung empfundenen stärksten Belastung, </w:t>
      </w:r>
      <w:r w:rsidRPr="00EE1185">
        <w:t xml:space="preserve">wobei </w:t>
      </w:r>
      <w:r w:rsidR="006059A2" w:rsidRPr="00EE1185">
        <w:t xml:space="preserve">die </w:t>
      </w:r>
      <w:r w:rsidRPr="00EE1185">
        <w:t xml:space="preserve">Belastung </w:t>
      </w:r>
      <w:r w:rsidR="006059A2" w:rsidRPr="00EE1185">
        <w:t xml:space="preserve">stichpunktartig anzugeben war. Eine Gliederung der </w:t>
      </w:r>
      <w:r w:rsidR="008D268D" w:rsidRPr="00EE1185">
        <w:t xml:space="preserve">von den Teilnehmenden </w:t>
      </w:r>
      <w:r w:rsidR="006059A2" w:rsidRPr="00EE1185">
        <w:t xml:space="preserve">genannten Belastungen ergab sieben </w:t>
      </w:r>
      <w:r w:rsidRPr="00EE1185">
        <w:t>Kategorien,</w:t>
      </w:r>
      <w:r w:rsidR="006059A2" w:rsidRPr="00EE1185">
        <w:t xml:space="preserve"> unter die die genannten Belastungen </w:t>
      </w:r>
      <w:r w:rsidRPr="00EE1185">
        <w:t>zusammengefasst</w:t>
      </w:r>
      <w:r w:rsidR="006059A2" w:rsidRPr="00EE1185">
        <w:t xml:space="preserve"> werden konnten: Belastungen im Bereich der Gesundheit, der Pandemie, der Finanzen bezüglich des Work-Life-Balance, Soziale Belastungen</w:t>
      </w:r>
      <w:r w:rsidRPr="00EE1185">
        <w:t xml:space="preserve"> </w:t>
      </w:r>
      <w:r w:rsidR="006059A2" w:rsidRPr="00EE1185">
        <w:t>oder Psychische Belastungen sowie Belastungen bezüglich Politik &amp; Weltgeschehen.</w:t>
      </w:r>
      <w:r w:rsidRPr="00EE1185">
        <w:t xml:space="preserve"> Auffällig hierbei war, dass die HTx mit </w:t>
      </w:r>
      <w:r w:rsidR="008D268D" w:rsidRPr="00EE1185">
        <w:t xml:space="preserve">    </w:t>
      </w:r>
      <w:r w:rsidRPr="00EE1185">
        <w:t>34</w:t>
      </w:r>
      <w:r w:rsidR="008D268D" w:rsidRPr="00EE1185">
        <w:t xml:space="preserve"> </w:t>
      </w:r>
      <w:r w:rsidRPr="00EE1185">
        <w:t xml:space="preserve">% im Vergleich zu den herzinsuffizienten Teilnehmer*innen mit 72 % deutlich weniger gesundheitsbezogene Belastungen angegeben hatten, andererseits Gesundheitsproblematiken im Vergleich zu den Gesunden (8 %) doch noch eine wichtige Rolle spielten bzw. eine relevante Belastungskomponente der HTx darstellten. Darüber hinaus war beachtenswert, dass 60 % der Gesunden ihr größtes Problem in den Bereichen Arbeit </w:t>
      </w:r>
      <w:r w:rsidR="008D268D" w:rsidRPr="00EE1185">
        <w:t>bzw.</w:t>
      </w:r>
      <w:r w:rsidRPr="00EE1185">
        <w:t xml:space="preserve"> Work-Life-Balance, Finanzen und Politik &amp; Weltgeschehen verorteten, während die HTx dies dort nur zu 23 % </w:t>
      </w:r>
      <w:r w:rsidR="0078151E" w:rsidRPr="00EE1185">
        <w:t>sahen</w:t>
      </w:r>
      <w:r w:rsidRPr="00EE1185">
        <w:t xml:space="preserve"> und die Herzinsuffizienten</w:t>
      </w:r>
      <w:r w:rsidR="008D268D" w:rsidRPr="00EE1185">
        <w:t xml:space="preserve"> ihre stärkste Belastung</w:t>
      </w:r>
      <w:r w:rsidRPr="00EE1185">
        <w:t xml:space="preserve"> sogar nur zu 5 % </w:t>
      </w:r>
      <w:r w:rsidR="008D268D" w:rsidRPr="00EE1185">
        <w:t>in diesen</w:t>
      </w:r>
      <w:r w:rsidRPr="00EE1185">
        <w:t xml:space="preserve"> </w:t>
      </w:r>
      <w:r w:rsidR="008D268D" w:rsidRPr="00EE1185">
        <w:t xml:space="preserve">Bereichen </w:t>
      </w:r>
      <w:r w:rsidR="00660895" w:rsidRPr="00EE1185">
        <w:t>eingruppierten</w:t>
      </w:r>
      <w:r w:rsidRPr="00EE1185">
        <w:t>.</w:t>
      </w:r>
    </w:p>
    <w:sectPr w:rsidR="00C070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173"/>
    <w:multiLevelType w:val="hybridMultilevel"/>
    <w:tmpl w:val="9968AAC0"/>
    <w:lvl w:ilvl="0" w:tplc="F8E06D96">
      <w:start w:val="5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5F4E5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611EB3"/>
    <w:multiLevelType w:val="hybridMultilevel"/>
    <w:tmpl w:val="EABCB6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5940408">
    <w:abstractNumId w:val="1"/>
  </w:num>
  <w:num w:numId="2" w16cid:durableId="338895854">
    <w:abstractNumId w:val="0"/>
  </w:num>
  <w:num w:numId="3" w16cid:durableId="1084453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A7"/>
    <w:rsid w:val="000023FF"/>
    <w:rsid w:val="000054AE"/>
    <w:rsid w:val="0003557F"/>
    <w:rsid w:val="00060360"/>
    <w:rsid w:val="00083CAD"/>
    <w:rsid w:val="000A3AB1"/>
    <w:rsid w:val="000C45A1"/>
    <w:rsid w:val="000E5399"/>
    <w:rsid w:val="00135FB0"/>
    <w:rsid w:val="00143AF1"/>
    <w:rsid w:val="00144346"/>
    <w:rsid w:val="0027667F"/>
    <w:rsid w:val="002821BC"/>
    <w:rsid w:val="00290D34"/>
    <w:rsid w:val="002B25C6"/>
    <w:rsid w:val="00306570"/>
    <w:rsid w:val="00321219"/>
    <w:rsid w:val="00322745"/>
    <w:rsid w:val="00366BB6"/>
    <w:rsid w:val="003706CA"/>
    <w:rsid w:val="00441538"/>
    <w:rsid w:val="004B2DB3"/>
    <w:rsid w:val="004E29CA"/>
    <w:rsid w:val="0050271F"/>
    <w:rsid w:val="00512302"/>
    <w:rsid w:val="00533229"/>
    <w:rsid w:val="0055550A"/>
    <w:rsid w:val="00593BDB"/>
    <w:rsid w:val="005E532F"/>
    <w:rsid w:val="005F4278"/>
    <w:rsid w:val="005F5934"/>
    <w:rsid w:val="006059A2"/>
    <w:rsid w:val="006439B7"/>
    <w:rsid w:val="00660895"/>
    <w:rsid w:val="006A0104"/>
    <w:rsid w:val="006A64C4"/>
    <w:rsid w:val="006B2DE0"/>
    <w:rsid w:val="006B6575"/>
    <w:rsid w:val="006D2FF8"/>
    <w:rsid w:val="006D3AFE"/>
    <w:rsid w:val="00705FED"/>
    <w:rsid w:val="00734806"/>
    <w:rsid w:val="0078151E"/>
    <w:rsid w:val="007915E4"/>
    <w:rsid w:val="007A584C"/>
    <w:rsid w:val="007D029E"/>
    <w:rsid w:val="007D6E6F"/>
    <w:rsid w:val="00805140"/>
    <w:rsid w:val="008369C9"/>
    <w:rsid w:val="008D268D"/>
    <w:rsid w:val="008D68C3"/>
    <w:rsid w:val="009160DC"/>
    <w:rsid w:val="00937F5E"/>
    <w:rsid w:val="00943CC4"/>
    <w:rsid w:val="00962994"/>
    <w:rsid w:val="00983B4F"/>
    <w:rsid w:val="009D72C0"/>
    <w:rsid w:val="009F013C"/>
    <w:rsid w:val="00A7400C"/>
    <w:rsid w:val="00A745F9"/>
    <w:rsid w:val="00A77529"/>
    <w:rsid w:val="00A80E74"/>
    <w:rsid w:val="00AA73CF"/>
    <w:rsid w:val="00AB0DFD"/>
    <w:rsid w:val="00AD3830"/>
    <w:rsid w:val="00AE1BE4"/>
    <w:rsid w:val="00C070F4"/>
    <w:rsid w:val="00C10705"/>
    <w:rsid w:val="00C84761"/>
    <w:rsid w:val="00C876D2"/>
    <w:rsid w:val="00C90FF7"/>
    <w:rsid w:val="00CA5975"/>
    <w:rsid w:val="00CE4A4E"/>
    <w:rsid w:val="00D02299"/>
    <w:rsid w:val="00D41EA7"/>
    <w:rsid w:val="00D625AA"/>
    <w:rsid w:val="00D67914"/>
    <w:rsid w:val="00D95A91"/>
    <w:rsid w:val="00DE7C42"/>
    <w:rsid w:val="00DF7C45"/>
    <w:rsid w:val="00E4037E"/>
    <w:rsid w:val="00E85629"/>
    <w:rsid w:val="00EE1185"/>
    <w:rsid w:val="00F00D68"/>
    <w:rsid w:val="00F0580B"/>
    <w:rsid w:val="00F165ED"/>
    <w:rsid w:val="00F27016"/>
    <w:rsid w:val="00F6442B"/>
    <w:rsid w:val="00F74D33"/>
    <w:rsid w:val="00F90DA3"/>
    <w:rsid w:val="00FC721E"/>
    <w:rsid w:val="00FF22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A37F"/>
  <w15:chartTrackingRefBased/>
  <w15:docId w15:val="{18CE2EA8-547A-4144-8D2D-952B9A0E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41EA7"/>
    <w:pPr>
      <w:spacing w:after="0" w:line="360" w:lineRule="auto"/>
      <w:ind w:firstLine="720"/>
    </w:pPr>
    <w:rPr>
      <w:rFonts w:ascii="Times New Roman" w:hAnsi="Times New Roman"/>
      <w:sz w:val="24"/>
      <w14:ligatures w14:val="al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B2DE0"/>
    <w:pPr>
      <w:ind w:left="720"/>
      <w:contextualSpacing/>
    </w:pPr>
  </w:style>
  <w:style w:type="character" w:styleId="Fett">
    <w:name w:val="Strong"/>
    <w:basedOn w:val="Absatz-Standardschriftart"/>
    <w:uiPriority w:val="22"/>
    <w:qFormat/>
    <w:rsid w:val="00C10705"/>
    <w:rPr>
      <w:b/>
      <w:bCs/>
    </w:rPr>
  </w:style>
  <w:style w:type="table" w:styleId="Tabellenraster">
    <w:name w:val="Table Grid"/>
    <w:basedOn w:val="NormaleTabelle"/>
    <w:uiPriority w:val="39"/>
    <w:rsid w:val="00366BB6"/>
    <w:pPr>
      <w:spacing w:after="0" w:line="360" w:lineRule="auto"/>
      <w:ind w:firstLine="720"/>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366BB6"/>
    <w:pPr>
      <w:ind w:firstLine="0"/>
    </w:pPr>
    <w:rPr>
      <w:rFonts w:eastAsia="Times New Roman" w:cs="Times New Roman"/>
      <w:b/>
      <w:b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6695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Niemann</dc:creator>
  <cp:keywords/>
  <dc:description/>
  <cp:lastModifiedBy>Philip Niemann</cp:lastModifiedBy>
  <cp:revision>2</cp:revision>
  <cp:lastPrinted>2023-01-10T18:01:00Z</cp:lastPrinted>
  <dcterms:created xsi:type="dcterms:W3CDTF">2023-06-06T12:38:00Z</dcterms:created>
  <dcterms:modified xsi:type="dcterms:W3CDTF">2023-06-06T12:38:00Z</dcterms:modified>
</cp:coreProperties>
</file>